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20877" w:rsidRPr="00D136A8">
        <w:rPr>
          <w:rFonts w:ascii="Arial" w:hAnsi="Arial"/>
          <w:b/>
          <w:color w:val="000000"/>
        </w:rPr>
        <w:t>NetCents Technology Inc</w:t>
      </w:r>
      <w:r w:rsidR="00F20877">
        <w:rPr>
          <w:rFonts w:ascii="Arial" w:hAnsi="Arial"/>
          <w:color w:val="000000"/>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20877" w:rsidRPr="00D136A8">
        <w:rPr>
          <w:rFonts w:ascii="Arial" w:hAnsi="Arial"/>
          <w:b/>
          <w:color w:val="000000"/>
        </w:rPr>
        <w:t>NC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20877" w:rsidRPr="00D136A8">
        <w:rPr>
          <w:rFonts w:ascii="Arial" w:hAnsi="Arial"/>
          <w:b/>
          <w:color w:val="000000"/>
        </w:rPr>
        <w:t>28,</w:t>
      </w:r>
      <w:r w:rsidR="005F3FBE">
        <w:rPr>
          <w:rFonts w:ascii="Arial" w:hAnsi="Arial"/>
          <w:b/>
          <w:color w:val="000000"/>
        </w:rPr>
        <w:t>763,061</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24D07" w:rsidRPr="00024D07">
        <w:rPr>
          <w:rFonts w:ascii="Arial" w:hAnsi="Arial"/>
          <w:b/>
          <w:color w:val="000000"/>
        </w:rPr>
        <w:t>December 6, 2016</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9C7C33" w:rsidRDefault="00C0389A" w:rsidP="00C0389A">
      <w:pPr>
        <w:pStyle w:val="List"/>
        <w:spacing w:before="120"/>
        <w:ind w:left="720" w:firstLine="0"/>
        <w:jc w:val="both"/>
        <w:rPr>
          <w:rFonts w:ascii="Arial" w:hAnsi="Arial"/>
          <w:b/>
        </w:rPr>
      </w:pPr>
      <w:r>
        <w:rPr>
          <w:rFonts w:ascii="Arial" w:hAnsi="Arial"/>
          <w:b/>
        </w:rPr>
        <w:t xml:space="preserve">Issuer announced </w:t>
      </w:r>
      <w:r w:rsidR="00B01841">
        <w:rPr>
          <w:rFonts w:ascii="Arial" w:hAnsi="Arial"/>
          <w:b/>
        </w:rPr>
        <w:t>Contract to Process $2.4 million (USD) monthly with a new client.</w:t>
      </w:r>
      <w:r>
        <w:rPr>
          <w:rFonts w:ascii="Arial" w:hAnsi="Arial"/>
          <w:b/>
        </w:rPr>
        <w:t xml:space="preserve"> </w:t>
      </w:r>
    </w:p>
    <w:p w:rsidR="003514C2" w:rsidRPr="005C7254" w:rsidRDefault="00B01841" w:rsidP="009438FD">
      <w:pPr>
        <w:pStyle w:val="BodyText"/>
        <w:ind w:left="720"/>
        <w:rPr>
          <w:rFonts w:ascii="Arial" w:hAnsi="Arial" w:cs="Arial"/>
          <w:b/>
        </w:rPr>
      </w:pPr>
      <w:r>
        <w:rPr>
          <w:rFonts w:ascii="Arial" w:hAnsi="Arial" w:cs="Arial"/>
          <w:b/>
        </w:rPr>
        <w:lastRenderedPageBreak/>
        <w:t>I</w:t>
      </w:r>
      <w:r w:rsidR="00C0389A" w:rsidRPr="00593828">
        <w:rPr>
          <w:rFonts w:ascii="Arial" w:hAnsi="Arial" w:cs="Arial"/>
          <w:b/>
        </w:rPr>
        <w:t xml:space="preserve">ssuer </w:t>
      </w:r>
      <w:r w:rsidR="009438FD">
        <w:rPr>
          <w:rFonts w:ascii="Arial" w:hAnsi="Arial" w:cs="Arial"/>
          <w:b/>
        </w:rPr>
        <w:t xml:space="preserve">announced it </w:t>
      </w:r>
      <w:r>
        <w:rPr>
          <w:rFonts w:ascii="Arial" w:hAnsi="Arial" w:cs="Arial"/>
          <w:b/>
        </w:rPr>
        <w:t>processed over $250,000 USD for new client in first 48 hours.</w:t>
      </w:r>
    </w:p>
    <w:p w:rsidR="009C7C33" w:rsidRDefault="00B01841" w:rsidP="009C7C33">
      <w:pPr>
        <w:pStyle w:val="List"/>
        <w:spacing w:before="120"/>
        <w:ind w:left="720" w:firstLine="0"/>
        <w:jc w:val="both"/>
        <w:rPr>
          <w:rFonts w:ascii="Arial" w:hAnsi="Arial"/>
          <w:b/>
        </w:rPr>
      </w:pPr>
      <w:r>
        <w:rPr>
          <w:rFonts w:ascii="Arial" w:hAnsi="Arial"/>
          <w:b/>
        </w:rPr>
        <w:t>I</w:t>
      </w:r>
      <w:r w:rsidR="004A0591">
        <w:rPr>
          <w:rFonts w:ascii="Arial" w:hAnsi="Arial"/>
          <w:b/>
        </w:rPr>
        <w:t xml:space="preserve">ssuer </w:t>
      </w:r>
      <w:r>
        <w:rPr>
          <w:rFonts w:ascii="Arial" w:hAnsi="Arial"/>
          <w:b/>
        </w:rPr>
        <w:t>announced surpassing $1.0 million in transactions with new client.</w:t>
      </w:r>
    </w:p>
    <w:p w:rsidR="00640E94" w:rsidRDefault="00640E94" w:rsidP="009C7C33">
      <w:pPr>
        <w:pStyle w:val="List"/>
        <w:spacing w:before="120"/>
        <w:ind w:left="720" w:firstLine="0"/>
        <w:jc w:val="both"/>
        <w:rPr>
          <w:rFonts w:ascii="Arial" w:hAnsi="Arial"/>
        </w:rPr>
      </w:pPr>
      <w:r>
        <w:rPr>
          <w:rFonts w:ascii="Arial" w:hAnsi="Arial"/>
        </w:rPr>
        <w:t>Provide a general overview and discussion of the activities of management.</w:t>
      </w:r>
    </w:p>
    <w:p w:rsidR="00CA11BB" w:rsidRDefault="00CA11BB" w:rsidP="00CA11BB">
      <w:pPr>
        <w:pStyle w:val="List"/>
        <w:spacing w:before="120"/>
        <w:ind w:left="720" w:firstLine="0"/>
        <w:jc w:val="both"/>
        <w:rPr>
          <w:rFonts w:ascii="Arial" w:hAnsi="Arial"/>
        </w:rPr>
      </w:pPr>
      <w:r w:rsidRPr="004D4D36">
        <w:rPr>
          <w:rFonts w:ascii="Arial" w:hAnsi="Arial"/>
          <w:b/>
        </w:rPr>
        <w:t xml:space="preserve">Over the past month, management has </w:t>
      </w:r>
      <w:r w:rsidR="007F6E75">
        <w:rPr>
          <w:rFonts w:ascii="Arial" w:hAnsi="Arial"/>
          <w:b/>
        </w:rPr>
        <w:t xml:space="preserve">continued to </w:t>
      </w:r>
      <w:r w:rsidRPr="004D4D36">
        <w:rPr>
          <w:rFonts w:ascii="Arial" w:hAnsi="Arial"/>
          <w:b/>
        </w:rPr>
        <w:t>focus on expanding the company’s global reach through the addition of platform enhancements t</w:t>
      </w:r>
      <w:r w:rsidR="004D4D36" w:rsidRPr="004D4D36">
        <w:rPr>
          <w:rFonts w:ascii="Arial" w:hAnsi="Arial"/>
          <w:b/>
        </w:rPr>
        <w:t>he integration of 3</w:t>
      </w:r>
      <w:r w:rsidR="004D4D36" w:rsidRPr="004D4D36">
        <w:rPr>
          <w:rFonts w:ascii="Arial" w:hAnsi="Arial"/>
          <w:b/>
          <w:vertAlign w:val="superscript"/>
        </w:rPr>
        <w:t>rd</w:t>
      </w:r>
      <w:r w:rsidR="004D4D36" w:rsidRPr="004D4D36">
        <w:rPr>
          <w:rFonts w:ascii="Arial" w:hAnsi="Arial"/>
          <w:b/>
        </w:rPr>
        <w:t xml:space="preserve"> party service providers. Refer to Item 1 above</w:t>
      </w:r>
      <w:r w:rsidR="004D4D36">
        <w:rPr>
          <w:rFonts w:ascii="Arial" w:hAnsi="Arial"/>
        </w:rPr>
        <w:t xml:space="preserve">. </w:t>
      </w:r>
      <w:r>
        <w:rPr>
          <w:rFonts w:ascii="Arial" w:hAnsi="Arial"/>
        </w:rPr>
        <w:t xml:space="preserve">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C40057" w:rsidRPr="00C40057" w:rsidRDefault="00C40057" w:rsidP="00C40057">
      <w:pPr>
        <w:pStyle w:val="List"/>
        <w:spacing w:before="120"/>
        <w:ind w:left="720" w:firstLine="0"/>
        <w:jc w:val="both"/>
        <w:rPr>
          <w:rFonts w:ascii="Arial" w:hAnsi="Arial"/>
          <w:b/>
        </w:rPr>
      </w:pPr>
      <w:r w:rsidRPr="00C40057">
        <w:rPr>
          <w:rFonts w:ascii="Arial" w:hAnsi="Arial"/>
          <w:b/>
        </w:rPr>
        <w:t>Refer to Item 1 above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52086" w:rsidRPr="00152086" w:rsidRDefault="00152086" w:rsidP="00152086">
      <w:pPr>
        <w:pStyle w:val="List"/>
        <w:spacing w:before="120"/>
        <w:ind w:left="720" w:firstLine="0"/>
        <w:jc w:val="both"/>
        <w:rPr>
          <w:rFonts w:ascii="Arial" w:hAnsi="Arial"/>
          <w:b/>
        </w:rPr>
      </w:pPr>
      <w:r w:rsidRPr="00152086">
        <w:rPr>
          <w:rFonts w:ascii="Arial" w:hAnsi="Arial"/>
          <w:b/>
        </w:rPr>
        <w:t>Refer to Item 1 above.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A24A1">
        <w:rPr>
          <w:rFonts w:ascii="Arial" w:hAnsi="Arial"/>
        </w:rPr>
        <w:t>de</w:t>
      </w:r>
      <w:proofErr w:type="gramEnd"/>
      <w:r w:rsidR="00FA24A1">
        <w:rPr>
          <w:rFonts w:ascii="Arial" w:hAnsi="Arial"/>
        </w:rPr>
        <w:t xml:space="preserve"> details of the relationship.</w:t>
      </w:r>
    </w:p>
    <w:p w:rsidR="00FA24A1" w:rsidRPr="00FA24A1" w:rsidRDefault="00FA24A1" w:rsidP="00FA24A1">
      <w:pPr>
        <w:pStyle w:val="List"/>
        <w:spacing w:before="120"/>
        <w:ind w:left="720" w:firstLine="0"/>
        <w:jc w:val="both"/>
        <w:rPr>
          <w:rFonts w:ascii="Arial" w:hAnsi="Arial"/>
          <w:b/>
        </w:rPr>
      </w:pPr>
      <w:r w:rsidRPr="00FA24A1">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D136A8" w:rsidRPr="00D136A8" w:rsidRDefault="00962BED" w:rsidP="00D136A8">
      <w:pPr>
        <w:pStyle w:val="List"/>
        <w:spacing w:before="120"/>
        <w:ind w:left="720" w:firstLine="0"/>
        <w:jc w:val="both"/>
        <w:rPr>
          <w:rFonts w:ascii="Arial" w:hAnsi="Arial"/>
          <w:b/>
        </w:rPr>
      </w:pPr>
      <w:r>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rsidR="00D136A8" w:rsidRDefault="00D136A8" w:rsidP="00D136A8">
      <w:pPr>
        <w:pStyle w:val="List"/>
        <w:spacing w:before="120"/>
        <w:ind w:left="720" w:firstLine="0"/>
        <w:jc w:val="both"/>
        <w:rPr>
          <w:rFonts w:ascii="Arial" w:hAnsi="Arial"/>
        </w:rPr>
      </w:pPr>
      <w:r w:rsidRPr="00D136A8">
        <w:rPr>
          <w:rFonts w:ascii="Arial" w:hAnsi="Arial"/>
          <w:b/>
        </w:rPr>
        <w:t>Refer to item 1 above</w:t>
      </w:r>
      <w:r>
        <w:rPr>
          <w:rFonts w:ascii="Arial" w:hAnsi="Arial"/>
        </w:rPr>
        <w:t>.</w:t>
      </w:r>
    </w:p>
    <w:p w:rsidR="00640E94" w:rsidRDefault="00640E94" w:rsidP="00B01841">
      <w:pPr>
        <w:pStyle w:val="List"/>
        <w:numPr>
          <w:ilvl w:val="0"/>
          <w:numId w:val="28"/>
        </w:numPr>
        <w:spacing w:before="120"/>
        <w:jc w:val="both"/>
        <w:rPr>
          <w:rFonts w:ascii="Arial" w:hAnsi="Arial"/>
        </w:rPr>
      </w:pPr>
      <w:r w:rsidRPr="00B01841">
        <w:rPr>
          <w:rFonts w:ascii="Arial" w:hAnsi="Arial"/>
        </w:rPr>
        <w:t>Report on any employee hirings, terminations or lay-offs with details of anticipated length of lay-offs.</w:t>
      </w:r>
      <w:r w:rsidR="002A7C89" w:rsidRPr="00B01841">
        <w:rPr>
          <w:rFonts w:ascii="Arial" w:hAnsi="Arial"/>
        </w:rPr>
        <w:t xml:space="preserve"> </w:t>
      </w:r>
      <w:r w:rsidR="00B01841" w:rsidRPr="00B01841">
        <w:rPr>
          <w:rFonts w:ascii="Arial" w:hAnsi="Arial"/>
          <w:b/>
        </w:rPr>
        <w:t xml:space="preserve">Due to prior commitments acting interim CFO, stepped down. Current President/COO will assume </w:t>
      </w:r>
      <w:r w:rsidR="001E3211">
        <w:rPr>
          <w:rFonts w:ascii="Arial" w:hAnsi="Arial"/>
          <w:b/>
        </w:rPr>
        <w:t xml:space="preserve">the </w:t>
      </w:r>
      <w:r w:rsidR="00B01841" w:rsidRPr="00B01841">
        <w:rPr>
          <w:rFonts w:ascii="Arial" w:hAnsi="Arial"/>
          <w:b/>
        </w:rPr>
        <w:t>Interim CFO responsibilities while the issuer initiates search for a permanent CFO.</w:t>
      </w:r>
      <w:r w:rsidR="00B01841" w:rsidRPr="00B01841">
        <w:rPr>
          <w:rFonts w:ascii="Arial" w:hAnsi="Arial"/>
        </w:rPr>
        <w:t xml:space="preserve"> </w:t>
      </w:r>
    </w:p>
    <w:p w:rsidR="00B01841" w:rsidRDefault="00B01841" w:rsidP="00B01841">
      <w:pPr>
        <w:pStyle w:val="List"/>
        <w:spacing w:before="120"/>
        <w:ind w:left="720" w:firstLine="0"/>
        <w:jc w:val="both"/>
        <w:rPr>
          <w:rFonts w:ascii="Arial" w:hAnsi="Arial"/>
        </w:rPr>
      </w:pPr>
      <w:r w:rsidRPr="00B01841">
        <w:rPr>
          <w:rFonts w:ascii="Arial" w:hAnsi="Arial"/>
        </w:rPr>
        <w:t>Report on any labour disputes and resolutions of those disputes if applicable</w:t>
      </w:r>
      <w:r>
        <w:rPr>
          <w:rFonts w:ascii="Arial" w:hAnsi="Arial"/>
        </w:rPr>
        <w:t>.</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Pr="00795E58"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AA39E6">
        <w:rPr>
          <w:rFonts w:ascii="Arial" w:hAnsi="Arial"/>
        </w:rPr>
        <w:t xml:space="preserve"> </w:t>
      </w:r>
      <w:r w:rsidR="007168E4">
        <w:rPr>
          <w:rFonts w:ascii="Arial" w:hAnsi="Arial"/>
          <w:b/>
        </w:rPr>
        <w:t>The issuer entered into a loan agreement with an unrelated 3</w:t>
      </w:r>
      <w:r w:rsidR="007168E4" w:rsidRPr="007168E4">
        <w:rPr>
          <w:rFonts w:ascii="Arial" w:hAnsi="Arial"/>
          <w:b/>
          <w:vertAlign w:val="superscript"/>
        </w:rPr>
        <w:t>rd</w:t>
      </w:r>
      <w:r w:rsidR="007168E4">
        <w:rPr>
          <w:rFonts w:ascii="Arial" w:hAnsi="Arial"/>
          <w:b/>
        </w:rPr>
        <w:t xml:space="preserve"> party. Loan amount was for $</w:t>
      </w:r>
      <w:r w:rsidR="00203F53">
        <w:rPr>
          <w:rFonts w:ascii="Arial" w:hAnsi="Arial"/>
          <w:b/>
        </w:rPr>
        <w:t>200</w:t>
      </w:r>
      <w:r w:rsidR="007168E4">
        <w:rPr>
          <w:rFonts w:ascii="Arial" w:hAnsi="Arial"/>
          <w:b/>
        </w:rPr>
        <w:t>,000</w:t>
      </w:r>
      <w:r w:rsidR="00203F53">
        <w:rPr>
          <w:rFonts w:ascii="Arial" w:hAnsi="Arial"/>
          <w:b/>
        </w:rPr>
        <w:t xml:space="preserve"> CDN. Term was for </w:t>
      </w:r>
      <w:r w:rsidR="007168E4">
        <w:rPr>
          <w:rFonts w:ascii="Arial" w:hAnsi="Arial"/>
          <w:b/>
        </w:rPr>
        <w:t>3 month term with an interest payment $</w:t>
      </w:r>
      <w:r w:rsidR="007C0876">
        <w:rPr>
          <w:rFonts w:ascii="Arial" w:hAnsi="Arial"/>
          <w:b/>
        </w:rPr>
        <w:t>30,950</w:t>
      </w:r>
      <w:r w:rsidR="007168E4">
        <w:rPr>
          <w:rFonts w:ascii="Arial" w:hAnsi="Arial"/>
          <w:b/>
        </w:rPr>
        <w:t xml:space="preserve"> due at term end. </w:t>
      </w:r>
    </w:p>
    <w:p w:rsidR="00795E58" w:rsidRDefault="00795E58" w:rsidP="00795E58">
      <w:pPr>
        <w:pStyle w:val="List"/>
        <w:spacing w:before="120"/>
        <w:ind w:left="720" w:firstLine="0"/>
        <w:jc w:val="both"/>
        <w:rPr>
          <w:rFonts w:ascii="Arial" w:hAnsi="Arial"/>
        </w:rPr>
      </w:pPr>
      <w:r>
        <w:rPr>
          <w:rFonts w:ascii="Arial" w:hAnsi="Arial"/>
          <w:b/>
        </w:rPr>
        <w:t xml:space="preserve">Issuer repaid $10,000 to a debtor for an existing loan from a prior period. An OSB of $35,000 is still outstanding on this loan. </w:t>
      </w:r>
    </w:p>
    <w:p w:rsidR="00640E94" w:rsidRPr="009438FD" w:rsidRDefault="00640E94">
      <w:pPr>
        <w:pStyle w:val="List"/>
        <w:numPr>
          <w:ilvl w:val="0"/>
          <w:numId w:val="28"/>
        </w:numPr>
        <w:spacing w:before="120"/>
        <w:jc w:val="both"/>
        <w:rPr>
          <w:rFonts w:ascii="Arial" w:hAnsi="Arial"/>
          <w:b/>
        </w:rPr>
      </w:pPr>
      <w:r>
        <w:rPr>
          <w:rFonts w:ascii="Arial" w:hAnsi="Arial"/>
        </w:rPr>
        <w:t>Provide details of any securities issued and options or warrants granted.</w:t>
      </w:r>
      <w:r w:rsidR="00A3776A">
        <w:rPr>
          <w:rFonts w:ascii="Arial" w:hAnsi="Arial"/>
        </w:rPr>
        <w:t xml:space="preserve"> </w:t>
      </w:r>
      <w:r w:rsidR="009438FD" w:rsidRPr="009438FD">
        <w:rPr>
          <w:rFonts w:ascii="Arial" w:hAnsi="Arial"/>
          <w:b/>
        </w:rPr>
        <w:t>N/A</w:t>
      </w:r>
    </w:p>
    <w:p w:rsidR="00640E94" w:rsidRPr="00A3776A" w:rsidRDefault="00640E94">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Security</w:t>
            </w:r>
          </w:p>
        </w:tc>
        <w:tc>
          <w:tcPr>
            <w:tcW w:w="2394" w:type="dxa"/>
          </w:tcPr>
          <w:p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Number Issued</w:t>
            </w:r>
          </w:p>
        </w:tc>
        <w:tc>
          <w:tcPr>
            <w:tcW w:w="2394" w:type="dxa"/>
          </w:tcPr>
          <w:p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Details of Issuance</w:t>
            </w:r>
          </w:p>
        </w:tc>
        <w:tc>
          <w:tcPr>
            <w:tcW w:w="2394" w:type="dxa"/>
          </w:tcPr>
          <w:p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Use of Proceeds</w:t>
            </w:r>
            <w:r w:rsidRPr="000A3150">
              <w:rPr>
                <w:rFonts w:ascii="Arial" w:hAnsi="Arial"/>
                <w:b/>
                <w:vertAlign w:val="superscript"/>
              </w:rPr>
              <w:t>(1)</w:t>
            </w:r>
          </w:p>
        </w:tc>
      </w:tr>
      <w:tr w:rsidR="00640E94">
        <w:tc>
          <w:tcPr>
            <w:tcW w:w="2394" w:type="dxa"/>
          </w:tcPr>
          <w:p w:rsidR="00640E94" w:rsidRPr="000A3150" w:rsidRDefault="00640E94" w:rsidP="00DF7AD7">
            <w:pPr>
              <w:pStyle w:val="List"/>
              <w:tabs>
                <w:tab w:val="left" w:pos="360"/>
              </w:tabs>
              <w:spacing w:before="0" w:line="280" w:lineRule="exact"/>
              <w:ind w:left="0" w:firstLine="0"/>
              <w:jc w:val="both"/>
              <w:rPr>
                <w:rFonts w:ascii="Arial" w:hAnsi="Arial"/>
              </w:rPr>
            </w:pPr>
          </w:p>
        </w:tc>
        <w:tc>
          <w:tcPr>
            <w:tcW w:w="2394" w:type="dxa"/>
          </w:tcPr>
          <w:p w:rsidR="00640E94" w:rsidRPr="000A3150" w:rsidRDefault="00640E94" w:rsidP="00DF7AD7">
            <w:pPr>
              <w:pStyle w:val="List"/>
              <w:tabs>
                <w:tab w:val="left" w:pos="360"/>
              </w:tabs>
              <w:spacing w:before="0" w:line="280" w:lineRule="exact"/>
              <w:ind w:left="0" w:firstLine="0"/>
              <w:jc w:val="center"/>
              <w:rPr>
                <w:rFonts w:ascii="Arial" w:hAnsi="Arial"/>
              </w:rPr>
            </w:pPr>
          </w:p>
        </w:tc>
        <w:tc>
          <w:tcPr>
            <w:tcW w:w="2394" w:type="dxa"/>
          </w:tcPr>
          <w:p w:rsidR="00640E94" w:rsidRPr="000A3150" w:rsidRDefault="00640E94" w:rsidP="00DF7AD7">
            <w:pPr>
              <w:pStyle w:val="List"/>
              <w:tabs>
                <w:tab w:val="left" w:pos="360"/>
              </w:tabs>
              <w:spacing w:before="0" w:line="280" w:lineRule="exact"/>
              <w:ind w:left="0" w:firstLine="0"/>
              <w:jc w:val="both"/>
              <w:rPr>
                <w:rFonts w:ascii="Arial" w:hAnsi="Arial"/>
              </w:rPr>
            </w:pPr>
          </w:p>
        </w:tc>
        <w:tc>
          <w:tcPr>
            <w:tcW w:w="2394" w:type="dxa"/>
          </w:tcPr>
          <w:p w:rsidR="00640E94" w:rsidRPr="000A3150"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rsidR="00640E94" w:rsidRPr="00B61D36" w:rsidRDefault="00640E94">
            <w:pPr>
              <w:pStyle w:val="List"/>
              <w:tabs>
                <w:tab w:val="left" w:pos="360"/>
              </w:tabs>
              <w:spacing w:before="0" w:line="280" w:lineRule="exact"/>
              <w:ind w:left="0" w:firstLine="0"/>
              <w:jc w:val="both"/>
              <w:rPr>
                <w:rFonts w:ascii="Arial" w:hAnsi="Arial"/>
                <w:highlight w:val="yellow"/>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Pr="003620C8" w:rsidRDefault="00640E94">
      <w:pPr>
        <w:pStyle w:val="List"/>
        <w:tabs>
          <w:tab w:val="left" w:pos="360"/>
        </w:tabs>
        <w:spacing w:before="120"/>
        <w:ind w:left="0" w:firstLine="0"/>
        <w:jc w:val="both"/>
        <w:rPr>
          <w:rFonts w:ascii="Arial" w:hAnsi="Arial"/>
          <w:b/>
        </w:rPr>
      </w:pPr>
      <w:r>
        <w:rPr>
          <w:rFonts w:ascii="Arial" w:hAnsi="Arial"/>
          <w:i/>
        </w:rPr>
        <w:t>(1)</w:t>
      </w:r>
      <w:r>
        <w:rPr>
          <w:rFonts w:ascii="Arial" w:hAnsi="Arial"/>
          <w:i/>
        </w:rPr>
        <w:tab/>
        <w:t>State aggregate proceeds and intended allocation of proceeds.</w:t>
      </w:r>
      <w:r w:rsidR="000A52BC">
        <w:rPr>
          <w:rFonts w:ascii="Arial" w:hAnsi="Arial"/>
          <w:i/>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E7B2A" w:rsidRPr="005E7B2A" w:rsidRDefault="005E7B2A" w:rsidP="005E7B2A">
      <w:pPr>
        <w:pStyle w:val="List"/>
        <w:keepNext/>
        <w:keepLines/>
        <w:spacing w:before="120"/>
        <w:ind w:left="720" w:firstLine="0"/>
        <w:jc w:val="both"/>
        <w:rPr>
          <w:rFonts w:ascii="Arial" w:hAnsi="Arial"/>
          <w:b/>
        </w:rPr>
      </w:pPr>
      <w:r w:rsidRPr="005E7B2A">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E7B2A" w:rsidRPr="005E7B2A" w:rsidRDefault="005E7B2A" w:rsidP="005E7B2A">
      <w:pPr>
        <w:pStyle w:val="List"/>
        <w:keepNext/>
        <w:keepLines/>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C25401" w:rsidRPr="00C25401" w:rsidRDefault="00C25401" w:rsidP="00C25401">
      <w:pPr>
        <w:pStyle w:val="BodyText"/>
        <w:ind w:left="720" w:right="11"/>
        <w:rPr>
          <w:rFonts w:ascii="Arial" w:hAnsi="Arial" w:cs="Arial"/>
          <w:b/>
          <w:szCs w:val="24"/>
        </w:rPr>
      </w:pPr>
      <w:r w:rsidRPr="00C25401">
        <w:rPr>
          <w:rFonts w:ascii="Arial" w:hAnsi="Arial" w:cs="Arial"/>
          <w:b/>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rsidR="00C25401" w:rsidRPr="00C25401" w:rsidRDefault="00C25401" w:rsidP="00C25401">
      <w:pPr>
        <w:pStyle w:val="BodyText"/>
        <w:ind w:left="720" w:right="11"/>
        <w:rPr>
          <w:rFonts w:ascii="Arial" w:hAnsi="Arial" w:cs="Arial"/>
          <w:b/>
          <w:szCs w:val="24"/>
          <w:lang w:eastAsia="en-CA"/>
        </w:rPr>
      </w:pPr>
      <w:r w:rsidRPr="00C25401">
        <w:rPr>
          <w:rFonts w:ascii="Arial" w:hAnsi="Arial" w:cs="Arial"/>
          <w:b/>
          <w:szCs w:val="24"/>
          <w:lang w:eastAsia="en-CA"/>
        </w:rPr>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rsidR="00C25401" w:rsidRPr="00C25401" w:rsidRDefault="00C25401" w:rsidP="00C25401">
      <w:pPr>
        <w:pStyle w:val="BodyText"/>
        <w:ind w:left="720"/>
        <w:rPr>
          <w:rFonts w:ascii="Arial" w:hAnsi="Arial" w:cs="Arial"/>
          <w:b/>
          <w:i/>
          <w:szCs w:val="24"/>
        </w:rPr>
      </w:pPr>
      <w:r w:rsidRPr="00C25401">
        <w:rPr>
          <w:rFonts w:ascii="Arial" w:hAnsi="Arial" w:cs="Arial"/>
          <w:b/>
          <w:szCs w:val="24"/>
        </w:rPr>
        <w:t>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sometimes ambiguous and, accordingly, the Resulting Issuer cannot assure that it is in 100% compliance with all applicable</w:t>
      </w:r>
      <w:r w:rsidRPr="002F3ED7">
        <w:rPr>
          <w:rFonts w:ascii="Arial" w:hAnsi="Arial" w:cs="Arial"/>
          <w:szCs w:val="24"/>
        </w:rPr>
        <w:t xml:space="preserve"> </w:t>
      </w:r>
      <w:r w:rsidRPr="00C25401">
        <w:rPr>
          <w:rFonts w:ascii="Arial" w:hAnsi="Arial" w:cs="Arial"/>
          <w:b/>
          <w:szCs w:val="24"/>
        </w:rPr>
        <w:t xml:space="preserve">laws, much less that all courts, arbitrators and regulators would agree that it is in 100% compliance. </w:t>
      </w:r>
    </w:p>
    <w:p w:rsidR="00C25401" w:rsidRPr="00C25401" w:rsidRDefault="00C25401" w:rsidP="00C25401">
      <w:pPr>
        <w:pStyle w:val="BodyText"/>
        <w:ind w:left="720" w:right="11"/>
        <w:rPr>
          <w:rFonts w:ascii="Arial" w:hAnsi="Arial" w:cs="Arial"/>
          <w:b/>
          <w:szCs w:val="24"/>
        </w:rPr>
      </w:pPr>
      <w:r w:rsidRPr="00C25401">
        <w:rPr>
          <w:rFonts w:ascii="Arial" w:hAnsi="Arial" w:cs="Arial"/>
          <w:b/>
          <w:szCs w:val="24"/>
          <w:lang w:val="en-CA"/>
        </w:rPr>
        <w:t xml:space="preserve">The market for payment processing is rapidly evolving and intensely competitive, and </w:t>
      </w:r>
      <w:r w:rsidR="006C7D8A">
        <w:rPr>
          <w:rFonts w:ascii="Arial" w:hAnsi="Arial" w:cs="Arial"/>
          <w:b/>
          <w:szCs w:val="24"/>
          <w:lang w:val="en-CA"/>
        </w:rPr>
        <w:t>the Issuer</w:t>
      </w:r>
      <w:r w:rsidRPr="00C25401">
        <w:rPr>
          <w:rFonts w:ascii="Arial" w:hAnsi="Arial" w:cs="Arial"/>
          <w:b/>
          <w:szCs w:val="24"/>
          <w:lang w:val="en-CA"/>
        </w:rPr>
        <w:t xml:space="preserve"> expects competition to intensify further in the future. </w:t>
      </w:r>
      <w:r w:rsidRPr="00C25401">
        <w:rPr>
          <w:rFonts w:ascii="Arial" w:hAnsi="Arial" w:cs="Arial"/>
          <w:b/>
          <w:spacing w:val="-1"/>
          <w:szCs w:val="24"/>
        </w:rPr>
        <w:t>There</w:t>
      </w:r>
      <w:r w:rsidRPr="00C25401">
        <w:rPr>
          <w:rFonts w:ascii="Arial" w:hAnsi="Arial" w:cs="Arial"/>
          <w:b/>
          <w:szCs w:val="24"/>
        </w:rPr>
        <w:t xml:space="preserve"> </w:t>
      </w:r>
      <w:r w:rsidRPr="00C25401">
        <w:rPr>
          <w:rFonts w:ascii="Arial" w:hAnsi="Arial" w:cs="Arial"/>
          <w:b/>
          <w:spacing w:val="-1"/>
          <w:szCs w:val="24"/>
        </w:rPr>
        <w:t>is</w:t>
      </w:r>
      <w:r w:rsidRPr="00C25401">
        <w:rPr>
          <w:rFonts w:ascii="Arial" w:hAnsi="Arial" w:cs="Arial"/>
          <w:b/>
          <w:szCs w:val="24"/>
        </w:rPr>
        <w:t xml:space="preserve"> high </w:t>
      </w:r>
      <w:r w:rsidRPr="00C25401">
        <w:rPr>
          <w:rFonts w:ascii="Arial" w:hAnsi="Arial" w:cs="Arial"/>
          <w:b/>
          <w:spacing w:val="-1"/>
          <w:szCs w:val="24"/>
        </w:rPr>
        <w:t>potential</w:t>
      </w:r>
      <w:r w:rsidRPr="00C25401">
        <w:rPr>
          <w:rFonts w:ascii="Arial" w:hAnsi="Arial" w:cs="Arial"/>
          <w:b/>
          <w:spacing w:val="1"/>
          <w:szCs w:val="24"/>
        </w:rPr>
        <w:t xml:space="preserve"> </w:t>
      </w:r>
      <w:r w:rsidRPr="00C25401">
        <w:rPr>
          <w:rFonts w:ascii="Arial" w:hAnsi="Arial" w:cs="Arial"/>
          <w:b/>
          <w:spacing w:val="-1"/>
          <w:szCs w:val="24"/>
        </w:rPr>
        <w:t>th</w:t>
      </w:r>
      <w:r w:rsidR="006C7D8A">
        <w:rPr>
          <w:rFonts w:ascii="Arial" w:hAnsi="Arial" w:cs="Arial"/>
          <w:b/>
          <w:spacing w:val="-1"/>
          <w:szCs w:val="24"/>
        </w:rPr>
        <w:t>e Issuer</w:t>
      </w:r>
      <w:r w:rsidRPr="00C25401">
        <w:rPr>
          <w:rFonts w:ascii="Arial" w:hAnsi="Arial" w:cs="Arial"/>
          <w:b/>
          <w:spacing w:val="27"/>
          <w:szCs w:val="24"/>
        </w:rPr>
        <w:t xml:space="preserve"> </w:t>
      </w:r>
      <w:r w:rsidRPr="00C25401">
        <w:rPr>
          <w:rFonts w:ascii="Arial" w:hAnsi="Arial" w:cs="Arial"/>
          <w:b/>
          <w:spacing w:val="-1"/>
          <w:szCs w:val="24"/>
        </w:rPr>
        <w:t>will</w:t>
      </w:r>
      <w:r w:rsidRPr="00C25401">
        <w:rPr>
          <w:rFonts w:ascii="Arial" w:hAnsi="Arial" w:cs="Arial"/>
          <w:b/>
          <w:spacing w:val="1"/>
          <w:szCs w:val="24"/>
        </w:rPr>
        <w:t xml:space="preserve"> </w:t>
      </w:r>
      <w:r w:rsidRPr="00C25401">
        <w:rPr>
          <w:rFonts w:ascii="Arial" w:hAnsi="Arial" w:cs="Arial"/>
          <w:b/>
          <w:spacing w:val="-1"/>
          <w:szCs w:val="24"/>
        </w:rPr>
        <w:t>face</w:t>
      </w:r>
      <w:r w:rsidRPr="00C25401">
        <w:rPr>
          <w:rFonts w:ascii="Arial" w:hAnsi="Arial" w:cs="Arial"/>
          <w:b/>
          <w:spacing w:val="1"/>
          <w:szCs w:val="24"/>
        </w:rPr>
        <w:t xml:space="preserve"> </w:t>
      </w:r>
      <w:r w:rsidRPr="00C25401">
        <w:rPr>
          <w:rFonts w:ascii="Arial" w:hAnsi="Arial" w:cs="Arial"/>
          <w:b/>
          <w:spacing w:val="-1"/>
          <w:szCs w:val="24"/>
        </w:rPr>
        <w:t>competition</w:t>
      </w:r>
      <w:r w:rsidRPr="00C25401">
        <w:rPr>
          <w:rFonts w:ascii="Arial" w:hAnsi="Arial" w:cs="Arial"/>
          <w:b/>
          <w:szCs w:val="24"/>
        </w:rPr>
        <w:t xml:space="preserve"> </w:t>
      </w:r>
      <w:r w:rsidRPr="00C25401">
        <w:rPr>
          <w:rFonts w:ascii="Arial" w:hAnsi="Arial" w:cs="Arial"/>
          <w:b/>
          <w:spacing w:val="-2"/>
          <w:szCs w:val="24"/>
        </w:rPr>
        <w:t>from</w:t>
      </w:r>
      <w:r w:rsidRPr="00C25401">
        <w:rPr>
          <w:rFonts w:ascii="Arial" w:hAnsi="Arial" w:cs="Arial"/>
          <w:b/>
          <w:spacing w:val="-1"/>
          <w:szCs w:val="24"/>
        </w:rPr>
        <w:t xml:space="preserve"> other</w:t>
      </w:r>
      <w:r w:rsidRPr="00C25401">
        <w:rPr>
          <w:rFonts w:ascii="Arial" w:hAnsi="Arial" w:cs="Arial"/>
          <w:b/>
          <w:spacing w:val="1"/>
          <w:szCs w:val="24"/>
        </w:rPr>
        <w:t xml:space="preserve"> </w:t>
      </w:r>
      <w:r w:rsidRPr="00C25401">
        <w:rPr>
          <w:rFonts w:ascii="Arial" w:hAnsi="Arial" w:cs="Arial"/>
          <w:b/>
          <w:spacing w:val="-1"/>
          <w:szCs w:val="24"/>
        </w:rPr>
        <w:t>companies,</w:t>
      </w:r>
      <w:r w:rsidRPr="00C25401">
        <w:rPr>
          <w:rFonts w:ascii="Arial" w:hAnsi="Arial" w:cs="Arial"/>
          <w:b/>
          <w:spacing w:val="1"/>
          <w:szCs w:val="24"/>
        </w:rPr>
        <w:t xml:space="preserve"> </w:t>
      </w:r>
      <w:r w:rsidRPr="00C25401">
        <w:rPr>
          <w:rFonts w:ascii="Arial" w:hAnsi="Arial" w:cs="Arial"/>
          <w:b/>
          <w:spacing w:val="-1"/>
          <w:szCs w:val="24"/>
        </w:rPr>
        <w:t>some</w:t>
      </w:r>
      <w:r w:rsidRPr="00C25401">
        <w:rPr>
          <w:rFonts w:ascii="Arial" w:hAnsi="Arial" w:cs="Arial"/>
          <w:b/>
          <w:spacing w:val="1"/>
          <w:szCs w:val="24"/>
        </w:rPr>
        <w:t xml:space="preserve"> </w:t>
      </w:r>
      <w:r w:rsidRPr="00C25401">
        <w:rPr>
          <w:rFonts w:ascii="Arial" w:hAnsi="Arial" w:cs="Arial"/>
          <w:b/>
          <w:spacing w:val="-1"/>
          <w:szCs w:val="24"/>
        </w:rPr>
        <w:t>of</w:t>
      </w:r>
      <w:r w:rsidRPr="00C25401">
        <w:rPr>
          <w:rFonts w:ascii="Arial" w:hAnsi="Arial" w:cs="Arial"/>
          <w:b/>
          <w:szCs w:val="24"/>
        </w:rPr>
        <w:t xml:space="preserve"> </w:t>
      </w:r>
      <w:r w:rsidRPr="00C25401">
        <w:rPr>
          <w:rFonts w:ascii="Arial" w:hAnsi="Arial" w:cs="Arial"/>
          <w:b/>
          <w:spacing w:val="-1"/>
          <w:szCs w:val="24"/>
        </w:rPr>
        <w:t>which</w:t>
      </w:r>
      <w:r w:rsidRPr="00C25401">
        <w:rPr>
          <w:rFonts w:ascii="Arial" w:hAnsi="Arial" w:cs="Arial"/>
          <w:b/>
          <w:spacing w:val="1"/>
          <w:szCs w:val="24"/>
        </w:rPr>
        <w:t xml:space="preserve"> </w:t>
      </w:r>
      <w:r w:rsidRPr="00C25401">
        <w:rPr>
          <w:rFonts w:ascii="Arial" w:hAnsi="Arial" w:cs="Arial"/>
          <w:b/>
          <w:spacing w:val="-1"/>
          <w:szCs w:val="24"/>
        </w:rPr>
        <w:t>can</w:t>
      </w:r>
      <w:r w:rsidRPr="00C25401">
        <w:rPr>
          <w:rFonts w:ascii="Arial" w:hAnsi="Arial" w:cs="Arial"/>
          <w:b/>
          <w:szCs w:val="24"/>
        </w:rPr>
        <w:t xml:space="preserve"> </w:t>
      </w:r>
      <w:r w:rsidRPr="00C25401">
        <w:rPr>
          <w:rFonts w:ascii="Arial" w:hAnsi="Arial" w:cs="Arial"/>
          <w:b/>
          <w:spacing w:val="-1"/>
          <w:szCs w:val="24"/>
        </w:rPr>
        <w:t>be</w:t>
      </w:r>
      <w:r w:rsidRPr="00C25401">
        <w:rPr>
          <w:rFonts w:ascii="Arial" w:hAnsi="Arial" w:cs="Arial"/>
          <w:b/>
          <w:spacing w:val="1"/>
          <w:szCs w:val="24"/>
        </w:rPr>
        <w:t xml:space="preserve"> </w:t>
      </w:r>
      <w:r w:rsidRPr="00C25401">
        <w:rPr>
          <w:rFonts w:ascii="Arial" w:hAnsi="Arial" w:cs="Arial"/>
          <w:b/>
          <w:spacing w:val="-1"/>
          <w:szCs w:val="24"/>
        </w:rPr>
        <w:t>expected</w:t>
      </w:r>
      <w:r w:rsidRPr="00C25401">
        <w:rPr>
          <w:rFonts w:ascii="Arial" w:hAnsi="Arial" w:cs="Arial"/>
          <w:b/>
          <w:spacing w:val="1"/>
          <w:szCs w:val="24"/>
        </w:rPr>
        <w:t xml:space="preserve"> </w:t>
      </w:r>
      <w:r w:rsidRPr="00C25401">
        <w:rPr>
          <w:rFonts w:ascii="Arial" w:hAnsi="Arial" w:cs="Arial"/>
          <w:b/>
          <w:spacing w:val="-1"/>
          <w:szCs w:val="24"/>
        </w:rPr>
        <w:t>to</w:t>
      </w:r>
      <w:r w:rsidRPr="00C25401">
        <w:rPr>
          <w:rFonts w:ascii="Arial" w:hAnsi="Arial" w:cs="Arial"/>
          <w:b/>
          <w:spacing w:val="27"/>
          <w:szCs w:val="24"/>
        </w:rPr>
        <w:t xml:space="preserve"> </w:t>
      </w:r>
      <w:r w:rsidRPr="00C25401">
        <w:rPr>
          <w:rFonts w:ascii="Arial" w:hAnsi="Arial" w:cs="Arial"/>
          <w:b/>
          <w:szCs w:val="24"/>
        </w:rPr>
        <w:t>have</w:t>
      </w:r>
      <w:r w:rsidRPr="00C25401">
        <w:rPr>
          <w:rFonts w:ascii="Arial" w:hAnsi="Arial" w:cs="Arial"/>
          <w:b/>
          <w:spacing w:val="41"/>
          <w:szCs w:val="24"/>
        </w:rPr>
        <w:t xml:space="preserve"> </w:t>
      </w:r>
      <w:r w:rsidRPr="00C25401">
        <w:rPr>
          <w:rFonts w:ascii="Arial" w:hAnsi="Arial" w:cs="Arial"/>
          <w:b/>
          <w:spacing w:val="-1"/>
          <w:szCs w:val="24"/>
        </w:rPr>
        <w:t>longer</w:t>
      </w:r>
      <w:r w:rsidRPr="00C25401">
        <w:rPr>
          <w:rFonts w:ascii="Arial" w:hAnsi="Arial" w:cs="Arial"/>
          <w:b/>
          <w:spacing w:val="40"/>
          <w:szCs w:val="24"/>
        </w:rPr>
        <w:t xml:space="preserve"> </w:t>
      </w:r>
      <w:r w:rsidRPr="00C25401">
        <w:rPr>
          <w:rFonts w:ascii="Arial" w:hAnsi="Arial" w:cs="Arial"/>
          <w:b/>
          <w:spacing w:val="-1"/>
          <w:szCs w:val="24"/>
        </w:rPr>
        <w:t>operating</w:t>
      </w:r>
      <w:r w:rsidRPr="00C25401">
        <w:rPr>
          <w:rFonts w:ascii="Arial" w:hAnsi="Arial" w:cs="Arial"/>
          <w:b/>
          <w:spacing w:val="41"/>
          <w:szCs w:val="24"/>
        </w:rPr>
        <w:t xml:space="preserve"> </w:t>
      </w:r>
      <w:r w:rsidRPr="00C25401">
        <w:rPr>
          <w:rFonts w:ascii="Arial" w:hAnsi="Arial" w:cs="Arial"/>
          <w:b/>
          <w:spacing w:val="-1"/>
          <w:szCs w:val="24"/>
        </w:rPr>
        <w:t>histories</w:t>
      </w:r>
      <w:r w:rsidRPr="00C25401">
        <w:rPr>
          <w:rFonts w:ascii="Arial" w:hAnsi="Arial" w:cs="Arial"/>
          <w:b/>
          <w:spacing w:val="41"/>
          <w:szCs w:val="24"/>
        </w:rPr>
        <w:t xml:space="preserve"> </w:t>
      </w:r>
      <w:r w:rsidRPr="00C25401">
        <w:rPr>
          <w:rFonts w:ascii="Arial" w:hAnsi="Arial" w:cs="Arial"/>
          <w:b/>
          <w:szCs w:val="24"/>
        </w:rPr>
        <w:t>and</w:t>
      </w:r>
      <w:r w:rsidRPr="00C25401">
        <w:rPr>
          <w:rFonts w:ascii="Arial" w:hAnsi="Arial" w:cs="Arial"/>
          <w:b/>
          <w:spacing w:val="41"/>
          <w:szCs w:val="24"/>
        </w:rPr>
        <w:t xml:space="preserve"> </w:t>
      </w:r>
      <w:r w:rsidRPr="00C25401">
        <w:rPr>
          <w:rFonts w:ascii="Arial" w:hAnsi="Arial" w:cs="Arial"/>
          <w:b/>
          <w:spacing w:val="-1"/>
          <w:szCs w:val="24"/>
        </w:rPr>
        <w:t>more</w:t>
      </w:r>
      <w:r w:rsidRPr="00C25401">
        <w:rPr>
          <w:rFonts w:ascii="Arial" w:hAnsi="Arial" w:cs="Arial"/>
          <w:b/>
          <w:spacing w:val="41"/>
          <w:szCs w:val="24"/>
        </w:rPr>
        <w:t xml:space="preserve"> </w:t>
      </w:r>
      <w:r w:rsidRPr="00C25401">
        <w:rPr>
          <w:rFonts w:ascii="Arial" w:hAnsi="Arial" w:cs="Arial"/>
          <w:b/>
          <w:spacing w:val="-1"/>
          <w:szCs w:val="24"/>
        </w:rPr>
        <w:t>financial</w:t>
      </w:r>
      <w:r w:rsidRPr="00C25401">
        <w:rPr>
          <w:rFonts w:ascii="Arial" w:hAnsi="Arial" w:cs="Arial"/>
          <w:b/>
          <w:spacing w:val="40"/>
          <w:szCs w:val="24"/>
        </w:rPr>
        <w:t xml:space="preserve"> </w:t>
      </w:r>
      <w:r w:rsidRPr="00C25401">
        <w:rPr>
          <w:rFonts w:ascii="Arial" w:hAnsi="Arial" w:cs="Arial"/>
          <w:b/>
          <w:spacing w:val="-1"/>
          <w:szCs w:val="24"/>
        </w:rPr>
        <w:t>resources</w:t>
      </w:r>
      <w:r w:rsidRPr="00C25401">
        <w:rPr>
          <w:rFonts w:ascii="Arial" w:hAnsi="Arial" w:cs="Arial"/>
          <w:b/>
          <w:spacing w:val="41"/>
          <w:szCs w:val="24"/>
        </w:rPr>
        <w:t xml:space="preserve"> </w:t>
      </w:r>
      <w:r w:rsidRPr="00C25401">
        <w:rPr>
          <w:rFonts w:ascii="Arial" w:hAnsi="Arial" w:cs="Arial"/>
          <w:b/>
          <w:spacing w:val="-1"/>
          <w:szCs w:val="24"/>
        </w:rPr>
        <w:t>and</w:t>
      </w:r>
      <w:r w:rsidRPr="00C25401">
        <w:rPr>
          <w:rFonts w:ascii="Arial" w:hAnsi="Arial" w:cs="Arial"/>
          <w:b/>
          <w:spacing w:val="41"/>
          <w:szCs w:val="24"/>
        </w:rPr>
        <w:t xml:space="preserve"> </w:t>
      </w:r>
      <w:r w:rsidRPr="00C25401">
        <w:rPr>
          <w:rFonts w:ascii="Arial" w:hAnsi="Arial" w:cs="Arial"/>
          <w:b/>
          <w:spacing w:val="-1"/>
          <w:szCs w:val="24"/>
        </w:rPr>
        <w:t>marketing</w:t>
      </w:r>
      <w:r w:rsidRPr="00C25401">
        <w:rPr>
          <w:rFonts w:ascii="Arial" w:hAnsi="Arial" w:cs="Arial"/>
          <w:b/>
          <w:spacing w:val="41"/>
          <w:szCs w:val="24"/>
        </w:rPr>
        <w:t xml:space="preserve"> </w:t>
      </w:r>
      <w:r w:rsidRPr="00C25401">
        <w:rPr>
          <w:rFonts w:ascii="Arial" w:hAnsi="Arial" w:cs="Arial"/>
          <w:b/>
          <w:spacing w:val="-1"/>
          <w:szCs w:val="24"/>
        </w:rPr>
        <w:t>experience</w:t>
      </w:r>
      <w:r w:rsidR="006C7D8A">
        <w:rPr>
          <w:rFonts w:ascii="Arial" w:hAnsi="Arial" w:cs="Arial"/>
          <w:b/>
          <w:spacing w:val="-1"/>
          <w:szCs w:val="24"/>
        </w:rPr>
        <w:t>.</w:t>
      </w:r>
      <w:r w:rsidRPr="00C25401">
        <w:rPr>
          <w:rFonts w:ascii="Arial" w:hAnsi="Arial" w:cs="Arial"/>
          <w:b/>
          <w:spacing w:val="3"/>
          <w:szCs w:val="24"/>
        </w:rPr>
        <w:t xml:space="preserve"> </w:t>
      </w:r>
      <w:r w:rsidRPr="00C25401">
        <w:rPr>
          <w:rFonts w:ascii="Arial" w:hAnsi="Arial" w:cs="Arial"/>
          <w:b/>
          <w:spacing w:val="-1"/>
          <w:szCs w:val="24"/>
        </w:rPr>
        <w:t>Increased</w:t>
      </w:r>
      <w:r w:rsidRPr="00C25401">
        <w:rPr>
          <w:rFonts w:ascii="Arial" w:hAnsi="Arial" w:cs="Arial"/>
          <w:b/>
          <w:spacing w:val="5"/>
          <w:szCs w:val="24"/>
        </w:rPr>
        <w:t xml:space="preserve"> </w:t>
      </w:r>
      <w:r w:rsidRPr="00C25401">
        <w:rPr>
          <w:rFonts w:ascii="Arial" w:hAnsi="Arial" w:cs="Arial"/>
          <w:b/>
          <w:spacing w:val="-1"/>
          <w:szCs w:val="24"/>
        </w:rPr>
        <w:t>competition</w:t>
      </w:r>
      <w:r w:rsidRPr="00C25401">
        <w:rPr>
          <w:rFonts w:ascii="Arial" w:hAnsi="Arial" w:cs="Arial"/>
          <w:b/>
          <w:spacing w:val="5"/>
          <w:szCs w:val="24"/>
        </w:rPr>
        <w:t xml:space="preserve"> </w:t>
      </w:r>
      <w:r w:rsidRPr="00C25401">
        <w:rPr>
          <w:rFonts w:ascii="Arial" w:hAnsi="Arial" w:cs="Arial"/>
          <w:b/>
          <w:szCs w:val="24"/>
        </w:rPr>
        <w:t>by</w:t>
      </w:r>
      <w:r w:rsidRPr="00C25401">
        <w:rPr>
          <w:rFonts w:ascii="Arial" w:hAnsi="Arial" w:cs="Arial"/>
          <w:b/>
          <w:spacing w:val="5"/>
          <w:szCs w:val="24"/>
        </w:rPr>
        <w:t xml:space="preserve"> </w:t>
      </w:r>
      <w:r w:rsidRPr="00C25401">
        <w:rPr>
          <w:rFonts w:ascii="Arial" w:hAnsi="Arial" w:cs="Arial"/>
          <w:b/>
          <w:spacing w:val="-1"/>
          <w:szCs w:val="24"/>
        </w:rPr>
        <w:t>larger</w:t>
      </w:r>
      <w:r w:rsidRPr="00C25401">
        <w:rPr>
          <w:rFonts w:ascii="Arial" w:hAnsi="Arial" w:cs="Arial"/>
          <w:b/>
          <w:spacing w:val="5"/>
          <w:szCs w:val="24"/>
        </w:rPr>
        <w:t xml:space="preserve"> </w:t>
      </w:r>
      <w:r w:rsidRPr="00C25401">
        <w:rPr>
          <w:rFonts w:ascii="Arial" w:hAnsi="Arial" w:cs="Arial"/>
          <w:b/>
          <w:szCs w:val="24"/>
        </w:rPr>
        <w:t>and</w:t>
      </w:r>
      <w:r w:rsidRPr="00C25401">
        <w:rPr>
          <w:rFonts w:ascii="Arial" w:hAnsi="Arial" w:cs="Arial"/>
          <w:b/>
          <w:spacing w:val="5"/>
          <w:szCs w:val="24"/>
        </w:rPr>
        <w:t xml:space="preserve"> </w:t>
      </w:r>
      <w:r w:rsidRPr="00C25401">
        <w:rPr>
          <w:rFonts w:ascii="Arial" w:hAnsi="Arial" w:cs="Arial"/>
          <w:b/>
          <w:szCs w:val="24"/>
        </w:rPr>
        <w:t>better</w:t>
      </w:r>
      <w:r w:rsidRPr="00C25401">
        <w:rPr>
          <w:rFonts w:ascii="Arial" w:hAnsi="Arial" w:cs="Arial"/>
          <w:b/>
          <w:spacing w:val="5"/>
          <w:szCs w:val="24"/>
        </w:rPr>
        <w:t xml:space="preserve"> </w:t>
      </w:r>
      <w:r w:rsidRPr="00C25401">
        <w:rPr>
          <w:rFonts w:ascii="Arial" w:hAnsi="Arial" w:cs="Arial"/>
          <w:b/>
          <w:spacing w:val="-1"/>
          <w:szCs w:val="24"/>
        </w:rPr>
        <w:t>financed</w:t>
      </w:r>
      <w:r w:rsidRPr="00C25401">
        <w:rPr>
          <w:rFonts w:ascii="Arial" w:hAnsi="Arial" w:cs="Arial"/>
          <w:b/>
          <w:spacing w:val="5"/>
          <w:szCs w:val="24"/>
        </w:rPr>
        <w:t xml:space="preserve"> </w:t>
      </w:r>
      <w:r w:rsidRPr="00C25401">
        <w:rPr>
          <w:rFonts w:ascii="Arial" w:hAnsi="Arial" w:cs="Arial"/>
          <w:b/>
          <w:spacing w:val="-1"/>
          <w:szCs w:val="24"/>
        </w:rPr>
        <w:t>competitors</w:t>
      </w:r>
      <w:r w:rsidRPr="00C25401">
        <w:rPr>
          <w:rFonts w:ascii="Arial" w:hAnsi="Arial" w:cs="Arial"/>
          <w:b/>
          <w:spacing w:val="5"/>
          <w:szCs w:val="24"/>
        </w:rPr>
        <w:t xml:space="preserve"> </w:t>
      </w:r>
      <w:r w:rsidRPr="00C25401">
        <w:rPr>
          <w:rFonts w:ascii="Arial" w:hAnsi="Arial" w:cs="Arial"/>
          <w:b/>
          <w:spacing w:val="-1"/>
          <w:szCs w:val="24"/>
        </w:rPr>
        <w:t>could</w:t>
      </w:r>
      <w:r w:rsidRPr="00C25401">
        <w:rPr>
          <w:rFonts w:ascii="Arial" w:hAnsi="Arial" w:cs="Arial"/>
          <w:b/>
          <w:spacing w:val="85"/>
          <w:szCs w:val="24"/>
        </w:rPr>
        <w:t xml:space="preserve"> </w:t>
      </w:r>
      <w:r w:rsidRPr="00C25401">
        <w:rPr>
          <w:rFonts w:ascii="Arial" w:hAnsi="Arial" w:cs="Arial"/>
          <w:b/>
          <w:spacing w:val="-1"/>
          <w:szCs w:val="24"/>
        </w:rPr>
        <w:t xml:space="preserve">materially </w:t>
      </w:r>
      <w:r w:rsidRPr="00C25401">
        <w:rPr>
          <w:rFonts w:ascii="Arial" w:hAnsi="Arial" w:cs="Arial"/>
          <w:b/>
          <w:szCs w:val="24"/>
        </w:rPr>
        <w:t>and</w:t>
      </w:r>
      <w:r w:rsidRPr="00C25401">
        <w:rPr>
          <w:rFonts w:ascii="Arial" w:hAnsi="Arial" w:cs="Arial"/>
          <w:b/>
          <w:spacing w:val="-1"/>
          <w:szCs w:val="24"/>
        </w:rPr>
        <w:t xml:space="preserve"> adversely affect the</w:t>
      </w:r>
      <w:r w:rsidRPr="00C25401">
        <w:rPr>
          <w:rFonts w:ascii="Arial" w:hAnsi="Arial" w:cs="Arial"/>
          <w:b/>
          <w:szCs w:val="24"/>
        </w:rPr>
        <w:t xml:space="preserve"> </w:t>
      </w:r>
      <w:r w:rsidRPr="00C25401">
        <w:rPr>
          <w:rFonts w:ascii="Arial" w:hAnsi="Arial" w:cs="Arial"/>
          <w:b/>
          <w:spacing w:val="-1"/>
          <w:szCs w:val="24"/>
        </w:rPr>
        <w:t>business,</w:t>
      </w:r>
      <w:r w:rsidRPr="00C25401">
        <w:rPr>
          <w:rFonts w:ascii="Arial" w:hAnsi="Arial" w:cs="Arial"/>
          <w:b/>
          <w:spacing w:val="-2"/>
          <w:szCs w:val="24"/>
        </w:rPr>
        <w:t xml:space="preserve"> </w:t>
      </w:r>
      <w:r w:rsidRPr="00C25401">
        <w:rPr>
          <w:rFonts w:ascii="Arial" w:hAnsi="Arial" w:cs="Arial"/>
          <w:b/>
          <w:spacing w:val="-1"/>
          <w:szCs w:val="24"/>
        </w:rPr>
        <w:t>financial condition</w:t>
      </w:r>
      <w:r w:rsidRPr="00C25401">
        <w:rPr>
          <w:rFonts w:ascii="Arial" w:hAnsi="Arial" w:cs="Arial"/>
          <w:b/>
          <w:szCs w:val="24"/>
        </w:rPr>
        <w:t xml:space="preserve"> </w:t>
      </w:r>
      <w:r w:rsidRPr="00C25401">
        <w:rPr>
          <w:rFonts w:ascii="Arial" w:hAnsi="Arial" w:cs="Arial"/>
          <w:b/>
          <w:spacing w:val="-1"/>
          <w:szCs w:val="24"/>
        </w:rPr>
        <w:t xml:space="preserve">and results of operations </w:t>
      </w:r>
      <w:r w:rsidRPr="00C25401">
        <w:rPr>
          <w:rFonts w:ascii="Arial" w:hAnsi="Arial" w:cs="Arial"/>
          <w:b/>
          <w:szCs w:val="24"/>
        </w:rPr>
        <w:t>of</w:t>
      </w:r>
      <w:r w:rsidRPr="00C25401">
        <w:rPr>
          <w:rFonts w:ascii="Arial" w:hAnsi="Arial" w:cs="Arial"/>
          <w:b/>
          <w:spacing w:val="-1"/>
          <w:szCs w:val="24"/>
        </w:rPr>
        <w:t xml:space="preserve"> </w:t>
      </w:r>
      <w:r w:rsidR="00E031C0">
        <w:rPr>
          <w:rFonts w:ascii="Arial" w:hAnsi="Arial" w:cs="Arial"/>
          <w:b/>
          <w:spacing w:val="-1"/>
          <w:szCs w:val="24"/>
        </w:rPr>
        <w:t xml:space="preserve">the Issuer. </w:t>
      </w:r>
    </w:p>
    <w:p w:rsidR="00C25401" w:rsidRDefault="00C25401" w:rsidP="00C25401">
      <w:pPr>
        <w:pStyle w:val="List"/>
        <w:spacing w:before="120"/>
        <w:ind w:left="720" w:firstLine="0"/>
        <w:jc w:val="both"/>
        <w:rPr>
          <w:rFonts w:ascii="Arial" w:hAnsi="Arial"/>
        </w:rPr>
      </w:pPr>
    </w:p>
    <w:p w:rsidR="00640E94" w:rsidRDefault="00640E94">
      <w:pPr>
        <w:pStyle w:val="List"/>
        <w:keepNext/>
        <w:spacing w:before="120"/>
        <w:ind w:left="0" w:firstLine="0"/>
        <w:rPr>
          <w:rFonts w:ascii="Arial" w:hAnsi="Arial"/>
          <w:b/>
        </w:rPr>
      </w:pPr>
      <w:r>
        <w:rPr>
          <w:rFonts w:ascii="Arial" w:hAnsi="Arial"/>
          <w:b/>
        </w:rPr>
        <w:br w:type="page"/>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87287">
        <w:rPr>
          <w:rFonts w:ascii="Arial" w:hAnsi="Arial"/>
        </w:rPr>
        <w:t>December 6</w:t>
      </w:r>
      <w:r w:rsidR="009438FD">
        <w:rPr>
          <w:rFonts w:ascii="Arial" w:hAnsi="Arial"/>
        </w:rPr>
        <w:t xml:space="preserve">, </w:t>
      </w:r>
      <w:r w:rsidR="00EE5310">
        <w:rPr>
          <w:rFonts w:ascii="Arial" w:hAnsi="Arial"/>
        </w:rPr>
        <w:t>2016</w:t>
      </w:r>
    </w:p>
    <w:p w:rsidR="005E7B2A" w:rsidRDefault="00640E94">
      <w:pPr>
        <w:pStyle w:val="List"/>
        <w:tabs>
          <w:tab w:val="left" w:pos="9180"/>
        </w:tabs>
        <w:ind w:left="5760" w:hanging="5760"/>
        <w:rPr>
          <w:rFonts w:ascii="Arial" w:hAnsi="Arial"/>
        </w:rPr>
      </w:pPr>
      <w:r>
        <w:rPr>
          <w:rFonts w:ascii="Arial" w:hAnsi="Arial"/>
        </w:rPr>
        <w:tab/>
      </w:r>
      <w:r w:rsidR="005E7B2A">
        <w:rPr>
          <w:rFonts w:ascii="Arial" w:hAnsi="Arial"/>
        </w:rPr>
        <w:t>Gordon Jessop</w:t>
      </w:r>
    </w:p>
    <w:p w:rsidR="00640E94" w:rsidRDefault="005E7B2A">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E7B2A">
        <w:rPr>
          <w:rFonts w:ascii="Arial" w:hAnsi="Arial"/>
          <w:noProof/>
          <w:lang w:val="en-CA" w:eastAsia="en-CA"/>
        </w:rPr>
        <w:drawing>
          <wp:inline distT="0" distB="0" distL="0" distR="0">
            <wp:extent cx="1947973" cy="477853"/>
            <wp:effectExtent l="19050" t="0" r="0" b="0"/>
            <wp:docPr id="1" name="Picture 1" descr="E:\Esignatures\GJ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ignatures\GJ Esignature.png"/>
                    <pic:cNvPicPr>
                      <a:picLocks noChangeAspect="1" noChangeArrowheads="1"/>
                    </pic:cNvPicPr>
                  </pic:nvPicPr>
                  <pic:blipFill>
                    <a:blip r:embed="rId7" cstate="print"/>
                    <a:srcRect/>
                    <a:stretch>
                      <a:fillRect/>
                    </a:stretch>
                  </pic:blipFill>
                  <pic:spPr bwMode="auto">
                    <a:xfrm>
                      <a:off x="0" y="0"/>
                      <a:ext cx="1947973" cy="477853"/>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rsidR="00640E94" w:rsidRDefault="005E7B2A">
      <w:pPr>
        <w:pStyle w:val="BodyText"/>
        <w:tabs>
          <w:tab w:val="left" w:pos="9180"/>
        </w:tabs>
        <w:spacing w:before="0"/>
        <w:ind w:left="5760"/>
        <w:rPr>
          <w:rFonts w:ascii="Arial" w:hAnsi="Arial"/>
        </w:rPr>
      </w:pPr>
      <w:r w:rsidRPr="005E7B2A">
        <w:rPr>
          <w:rFonts w:ascii="Arial" w:hAnsi="Arial"/>
        </w:rPr>
        <w:t>President COO</w:t>
      </w:r>
      <w:r w:rsidR="00640E94" w:rsidRPr="005E7B2A">
        <w:rPr>
          <w:rFonts w:ascii="Arial" w:hAnsi="Arial"/>
        </w:rPr>
        <w:tab/>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F633B1">
            <w:pPr>
              <w:pStyle w:val="BodyText"/>
              <w:rPr>
                <w:rFonts w:ascii="Arial" w:hAnsi="Arial"/>
              </w:rPr>
            </w:pPr>
            <w:r>
              <w:rPr>
                <w:rFonts w:ascii="Arial" w:hAnsi="Arial"/>
              </w:rPr>
              <w:t>NetCents Technology Inc.</w:t>
            </w:r>
          </w:p>
        </w:tc>
        <w:tc>
          <w:tcPr>
            <w:tcW w:w="1800" w:type="dxa"/>
            <w:tcBorders>
              <w:top w:val="single" w:sz="18" w:space="0" w:color="auto"/>
              <w:left w:val="single" w:sz="18" w:space="0" w:color="auto"/>
              <w:bottom w:val="nil"/>
              <w:right w:val="single" w:sz="18" w:space="0" w:color="auto"/>
            </w:tcBorders>
          </w:tcPr>
          <w:p w:rsidR="00640E94" w:rsidRDefault="00640E94" w:rsidP="008A75C6">
            <w:pPr>
              <w:pStyle w:val="BodyText"/>
              <w:spacing w:before="0"/>
              <w:rPr>
                <w:rFonts w:ascii="Arial" w:hAnsi="Arial"/>
              </w:rPr>
            </w:pPr>
            <w:r>
              <w:rPr>
                <w:rFonts w:ascii="Arial" w:hAnsi="Arial"/>
              </w:rPr>
              <w:t>For  Month End</w:t>
            </w:r>
            <w:r w:rsidR="00882FCB">
              <w:rPr>
                <w:rFonts w:ascii="Arial" w:hAnsi="Arial"/>
              </w:rPr>
              <w:t>:</w:t>
            </w:r>
            <w:r w:rsidR="00FA24A1">
              <w:rPr>
                <w:rFonts w:ascii="Arial" w:hAnsi="Arial"/>
              </w:rPr>
              <w:t xml:space="preserve"> </w:t>
            </w:r>
            <w:r w:rsidR="008A75C6">
              <w:rPr>
                <w:rFonts w:ascii="Arial" w:hAnsi="Arial"/>
              </w:rPr>
              <w:t>November</w:t>
            </w:r>
            <w:r w:rsidR="00FA24A1">
              <w:rPr>
                <w:rFonts w:ascii="Arial" w:hAnsi="Arial"/>
              </w:rPr>
              <w:t xml:space="preserve">, </w:t>
            </w:r>
            <w:r w:rsidR="008A75C6">
              <w:rPr>
                <w:rFonts w:ascii="Arial" w:hAnsi="Arial"/>
              </w:rPr>
              <w:t>30</w:t>
            </w:r>
            <w:r w:rsidR="003514C2">
              <w:rPr>
                <w:rFonts w:ascii="Arial" w:hAnsi="Arial"/>
              </w:rPr>
              <w:t xml:space="preserve">, </w:t>
            </w:r>
            <w:r w:rsidR="00FA24A1">
              <w:rPr>
                <w:rFonts w:ascii="Arial" w:hAnsi="Arial"/>
              </w:rPr>
              <w:t>2016</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EE5310" w:rsidRDefault="00203F53">
            <w:pPr>
              <w:pStyle w:val="BodyText"/>
              <w:spacing w:before="0"/>
              <w:rPr>
                <w:rFonts w:ascii="Arial" w:hAnsi="Arial"/>
              </w:rPr>
            </w:pPr>
            <w:r>
              <w:rPr>
                <w:rFonts w:ascii="Arial" w:hAnsi="Arial"/>
              </w:rPr>
              <w:t>16/12</w:t>
            </w:r>
            <w:r w:rsidR="00B93BA1">
              <w:rPr>
                <w:rFonts w:ascii="Arial" w:hAnsi="Arial"/>
              </w:rPr>
              <w:t>/</w:t>
            </w:r>
            <w:r w:rsidR="001A317E">
              <w:rPr>
                <w:rFonts w:ascii="Arial" w:hAnsi="Arial"/>
              </w:rPr>
              <w:t>0</w:t>
            </w:r>
            <w:r>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49581D">
            <w:pPr>
              <w:pStyle w:val="BodyText"/>
              <w:spacing w:before="0"/>
              <w:rPr>
                <w:rFonts w:ascii="Arial" w:hAnsi="Arial"/>
              </w:rPr>
            </w:pPr>
            <w:r>
              <w:rPr>
                <w:rFonts w:ascii="Arial" w:hAnsi="Arial"/>
              </w:rPr>
              <w:t>885 West Georgia Street, Suite 1500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F633B1">
            <w:pPr>
              <w:pStyle w:val="BodyText"/>
              <w:spacing w:before="0"/>
              <w:rPr>
                <w:rFonts w:ascii="Arial" w:hAnsi="Arial"/>
              </w:rPr>
            </w:pPr>
            <w:r>
              <w:rPr>
                <w:rFonts w:ascii="Arial" w:hAnsi="Arial"/>
              </w:rPr>
              <w:t xml:space="preserve">Vancouver, BC, </w:t>
            </w:r>
            <w:r w:rsidR="000C714B">
              <w:rPr>
                <w:rFonts w:ascii="Arial" w:hAnsi="Arial"/>
              </w:rPr>
              <w:t>V6C 3E8</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134A4E">
            <w:pPr>
              <w:pStyle w:val="BodyText"/>
              <w:spacing w:before="0"/>
              <w:rPr>
                <w:rFonts w:ascii="Arial" w:hAnsi="Arial"/>
              </w:rPr>
            </w:pPr>
            <w:r>
              <w:rPr>
                <w:rFonts w:ascii="Arial" w:hAnsi="Arial"/>
              </w:rPr>
              <w:t xml:space="preserve">( </w:t>
            </w:r>
            <w:r w:rsidR="00134A4E">
              <w:rPr>
                <w:rFonts w:ascii="Arial" w:hAnsi="Arial"/>
              </w:rPr>
              <w:t>604</w:t>
            </w:r>
            <w:r>
              <w:rPr>
                <w:rFonts w:ascii="Arial" w:hAnsi="Arial"/>
              </w:rPr>
              <w:t>)</w:t>
            </w:r>
            <w:r w:rsidR="00E031C0">
              <w:rPr>
                <w:rFonts w:ascii="Arial" w:hAnsi="Arial"/>
              </w:rPr>
              <w:t xml:space="preserve"> 676-5248</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0C714B">
            <w:pPr>
              <w:pStyle w:val="BodyText"/>
              <w:spacing w:before="0"/>
              <w:rPr>
                <w:rFonts w:ascii="Arial" w:hAnsi="Arial"/>
              </w:rPr>
            </w:pPr>
            <w:r>
              <w:rPr>
                <w:rFonts w:ascii="Arial" w:hAnsi="Arial"/>
              </w:rPr>
              <w:t>Gordon Jessop</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0C714B" w:rsidRDefault="000C714B">
            <w:pPr>
              <w:pStyle w:val="BodyText"/>
              <w:spacing w:before="0"/>
              <w:rPr>
                <w:rFonts w:ascii="Arial" w:hAnsi="Arial"/>
              </w:rPr>
            </w:pPr>
            <w:r>
              <w:rPr>
                <w:rFonts w:ascii="Arial" w:hAnsi="Arial"/>
              </w:rPr>
              <w:t>President COO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E031C0" w:rsidRDefault="00E031C0">
            <w:pPr>
              <w:pStyle w:val="BodyText"/>
              <w:spacing w:before="0"/>
              <w:rPr>
                <w:rFonts w:ascii="Arial" w:hAnsi="Arial"/>
              </w:rPr>
            </w:pPr>
            <w:r>
              <w:rPr>
                <w:rFonts w:ascii="Arial" w:hAnsi="Arial"/>
              </w:rPr>
              <w:t>604 676-5249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C7D8A">
            <w:pPr>
              <w:pStyle w:val="BodyText"/>
              <w:spacing w:before="0"/>
              <w:rPr>
                <w:rFonts w:ascii="Arial" w:hAnsi="Arial"/>
              </w:rPr>
            </w:pPr>
            <w:r>
              <w:rPr>
                <w:rFonts w:ascii="Arial" w:hAnsi="Arial"/>
              </w:rPr>
              <w:t>gord.jessop@net-cents.com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281003">
            <w:pPr>
              <w:pStyle w:val="BodyText"/>
              <w:spacing w:before="0"/>
              <w:rPr>
                <w:rFonts w:ascii="Arial" w:hAnsi="Arial"/>
              </w:rPr>
            </w:pPr>
            <w:hyperlink r:id="rId8" w:history="1">
              <w:r w:rsidR="006C7D8A" w:rsidRPr="006062D3">
                <w:rPr>
                  <w:rStyle w:val="Hyperlink"/>
                  <w:rFonts w:ascii="Arial" w:hAnsi="Arial"/>
                </w:rPr>
                <w:t>www.net-cents.com</w:t>
              </w:r>
            </w:hyperlink>
            <w:r w:rsidR="006C7D8A">
              <w:rPr>
                <w:rFonts w:ascii="Arial" w:hAnsi="Arial"/>
              </w:rPr>
              <w:t xml:space="preserve"> / blog.net-cents.com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3A" w:rsidRDefault="00205C3A">
      <w:r>
        <w:separator/>
      </w:r>
    </w:p>
  </w:endnote>
  <w:endnote w:type="continuationSeparator" w:id="0">
    <w:p w:rsidR="00205C3A" w:rsidRDefault="00205C3A">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281003" w:rsidP="006D1A06">
    <w:pPr>
      <w:tabs>
        <w:tab w:val="center" w:pos="4680"/>
        <w:tab w:val="left" w:pos="8280"/>
      </w:tabs>
      <w:jc w:val="center"/>
      <w:rPr>
        <w:rStyle w:val="PageNumber"/>
        <w:rFonts w:ascii="Arial" w:hAnsi="Arial" w:cs="Arial"/>
        <w:b/>
      </w:rPr>
    </w:pPr>
    <w:r w:rsidRPr="00281003">
      <w:rPr>
        <w:b/>
        <w:noProof/>
        <w:lang w:val="en-CA" w:eastAsia="en-CA"/>
      </w:rPr>
      <w:pict>
        <v:line id="Line 7" o:spid="_x0000_s9218"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640E94">
      <w:rPr>
        <w:rFonts w:ascii="Arial" w:hAnsi="Arial" w:cs="Arial"/>
        <w:b/>
      </w:rPr>
      <w:t>FORM 7 – MONTHLY PROGRESS REPORT</w:t>
    </w:r>
  </w:p>
  <w:p w:rsidR="00640E94" w:rsidRPr="006D1A06" w:rsidRDefault="0088259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135817">
      <w:rPr>
        <w:rStyle w:val="PageNumber"/>
        <w:rFonts w:ascii="Arial" w:hAnsi="Arial" w:cs="Arial"/>
        <w:sz w:val="16"/>
        <w:szCs w:val="16"/>
      </w:rPr>
      <w:t>,</w:t>
    </w:r>
    <w:r w:rsidR="005F3FBE">
      <w:rPr>
        <w:rStyle w:val="PageNumber"/>
        <w:rFonts w:ascii="Arial" w:hAnsi="Arial" w:cs="Arial"/>
        <w:sz w:val="16"/>
        <w:szCs w:val="16"/>
      </w:rPr>
      <w:t xml:space="preserve"> </w:t>
    </w:r>
    <w:r w:rsidR="00FA24A1">
      <w:rPr>
        <w:rStyle w:val="PageNumber"/>
        <w:rFonts w:ascii="Arial" w:hAnsi="Arial" w:cs="Arial"/>
        <w:sz w:val="16"/>
        <w:szCs w:val="16"/>
      </w:rPr>
      <w:t>2016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281003"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281003" w:rsidRPr="006D1A06">
      <w:rPr>
        <w:rStyle w:val="PageNumber"/>
        <w:rFonts w:ascii="Arial" w:hAnsi="Arial" w:cs="Arial"/>
        <w:sz w:val="16"/>
        <w:szCs w:val="16"/>
      </w:rPr>
      <w:fldChar w:fldCharType="separate"/>
    </w:r>
    <w:r w:rsidR="005E2BB5">
      <w:rPr>
        <w:rStyle w:val="PageNumber"/>
        <w:rFonts w:ascii="Arial" w:hAnsi="Arial" w:cs="Arial"/>
        <w:noProof/>
        <w:sz w:val="16"/>
        <w:szCs w:val="16"/>
      </w:rPr>
      <w:t>2</w:t>
    </w:r>
    <w:r w:rsidR="00281003"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281003" w:rsidP="00635E9A">
    <w:pPr>
      <w:tabs>
        <w:tab w:val="center" w:pos="4674"/>
        <w:tab w:val="left" w:pos="8460"/>
      </w:tabs>
      <w:jc w:val="center"/>
      <w:rPr>
        <w:rStyle w:val="PageNumber"/>
        <w:rFonts w:ascii="Arial" w:hAnsi="Arial" w:cs="Arial"/>
        <w:b/>
      </w:rPr>
    </w:pPr>
    <w:r w:rsidRPr="00281003">
      <w:rPr>
        <w:b/>
        <w:noProof/>
        <w:lang w:val="en-CA" w:eastAsia="en-CA"/>
      </w:rPr>
      <w:pict>
        <v:line id="Line 5" o:spid="_x0000_s921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281003"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281003"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281003"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3A" w:rsidRDefault="00205C3A">
      <w:r>
        <w:separator/>
      </w:r>
    </w:p>
  </w:footnote>
  <w:footnote w:type="continuationSeparator" w:id="0">
    <w:p w:rsidR="00205C3A" w:rsidRDefault="00205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281003">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A47914"/>
    <w:rsid w:val="00024D07"/>
    <w:rsid w:val="000313FE"/>
    <w:rsid w:val="00071CB8"/>
    <w:rsid w:val="000A1AB1"/>
    <w:rsid w:val="000A3150"/>
    <w:rsid w:val="000A4703"/>
    <w:rsid w:val="000A52BC"/>
    <w:rsid w:val="000C714B"/>
    <w:rsid w:val="0012265D"/>
    <w:rsid w:val="00134A4E"/>
    <w:rsid w:val="00135817"/>
    <w:rsid w:val="00152086"/>
    <w:rsid w:val="001A317E"/>
    <w:rsid w:val="001B113A"/>
    <w:rsid w:val="001E3211"/>
    <w:rsid w:val="001E5D3D"/>
    <w:rsid w:val="001E6522"/>
    <w:rsid w:val="00201B97"/>
    <w:rsid w:val="00203F53"/>
    <w:rsid w:val="00205C3A"/>
    <w:rsid w:val="00206F2E"/>
    <w:rsid w:val="00247BA7"/>
    <w:rsid w:val="00255489"/>
    <w:rsid w:val="00281003"/>
    <w:rsid w:val="002A7C89"/>
    <w:rsid w:val="002C281E"/>
    <w:rsid w:val="002F00EB"/>
    <w:rsid w:val="00303003"/>
    <w:rsid w:val="00317647"/>
    <w:rsid w:val="003514C2"/>
    <w:rsid w:val="003620C8"/>
    <w:rsid w:val="003669A9"/>
    <w:rsid w:val="00371A64"/>
    <w:rsid w:val="00375187"/>
    <w:rsid w:val="0038126F"/>
    <w:rsid w:val="00382E7A"/>
    <w:rsid w:val="00387FA8"/>
    <w:rsid w:val="003A3666"/>
    <w:rsid w:val="003E7CA5"/>
    <w:rsid w:val="0040733F"/>
    <w:rsid w:val="00407711"/>
    <w:rsid w:val="00473281"/>
    <w:rsid w:val="00481E20"/>
    <w:rsid w:val="004860FB"/>
    <w:rsid w:val="0049581D"/>
    <w:rsid w:val="004A0591"/>
    <w:rsid w:val="004B5CD0"/>
    <w:rsid w:val="004C26C9"/>
    <w:rsid w:val="004D0ADE"/>
    <w:rsid w:val="004D4D36"/>
    <w:rsid w:val="004E234F"/>
    <w:rsid w:val="004F011A"/>
    <w:rsid w:val="00511C39"/>
    <w:rsid w:val="00523681"/>
    <w:rsid w:val="0054095F"/>
    <w:rsid w:val="005453C8"/>
    <w:rsid w:val="00563A05"/>
    <w:rsid w:val="00593828"/>
    <w:rsid w:val="005C7254"/>
    <w:rsid w:val="005E2BB5"/>
    <w:rsid w:val="005E7B2A"/>
    <w:rsid w:val="005F3FBE"/>
    <w:rsid w:val="005F6D8F"/>
    <w:rsid w:val="00620E7F"/>
    <w:rsid w:val="00633ED3"/>
    <w:rsid w:val="00635E9A"/>
    <w:rsid w:val="00640E94"/>
    <w:rsid w:val="00662927"/>
    <w:rsid w:val="00671B6F"/>
    <w:rsid w:val="006C7D8A"/>
    <w:rsid w:val="006D1A06"/>
    <w:rsid w:val="006F5EA1"/>
    <w:rsid w:val="007168E4"/>
    <w:rsid w:val="007654BC"/>
    <w:rsid w:val="00795E58"/>
    <w:rsid w:val="007C0876"/>
    <w:rsid w:val="007C5B93"/>
    <w:rsid w:val="007F6E75"/>
    <w:rsid w:val="008158E1"/>
    <w:rsid w:val="00822E6E"/>
    <w:rsid w:val="00837FC9"/>
    <w:rsid w:val="00882595"/>
    <w:rsid w:val="00882FCB"/>
    <w:rsid w:val="0088309C"/>
    <w:rsid w:val="00897383"/>
    <w:rsid w:val="008A75C6"/>
    <w:rsid w:val="008B7E92"/>
    <w:rsid w:val="008D6ECD"/>
    <w:rsid w:val="008F62C3"/>
    <w:rsid w:val="008F6EC8"/>
    <w:rsid w:val="008F7BE4"/>
    <w:rsid w:val="00922A46"/>
    <w:rsid w:val="00930BC7"/>
    <w:rsid w:val="00933E3A"/>
    <w:rsid w:val="00933FA0"/>
    <w:rsid w:val="009438FD"/>
    <w:rsid w:val="00946B0D"/>
    <w:rsid w:val="00962BED"/>
    <w:rsid w:val="00975E0C"/>
    <w:rsid w:val="00987287"/>
    <w:rsid w:val="00997C08"/>
    <w:rsid w:val="009C7C33"/>
    <w:rsid w:val="00A3776A"/>
    <w:rsid w:val="00A44B00"/>
    <w:rsid w:val="00A47914"/>
    <w:rsid w:val="00A57886"/>
    <w:rsid w:val="00A90533"/>
    <w:rsid w:val="00AA15C0"/>
    <w:rsid w:val="00AA39E6"/>
    <w:rsid w:val="00B004ED"/>
    <w:rsid w:val="00B01841"/>
    <w:rsid w:val="00B20E4F"/>
    <w:rsid w:val="00B61D36"/>
    <w:rsid w:val="00B93BA1"/>
    <w:rsid w:val="00C0389A"/>
    <w:rsid w:val="00C06C3A"/>
    <w:rsid w:val="00C16D57"/>
    <w:rsid w:val="00C25401"/>
    <w:rsid w:val="00C27A18"/>
    <w:rsid w:val="00C27AF6"/>
    <w:rsid w:val="00C40057"/>
    <w:rsid w:val="00C6038E"/>
    <w:rsid w:val="00C6383E"/>
    <w:rsid w:val="00C90F8B"/>
    <w:rsid w:val="00C96F7B"/>
    <w:rsid w:val="00CA11BB"/>
    <w:rsid w:val="00CC727F"/>
    <w:rsid w:val="00D136A8"/>
    <w:rsid w:val="00D17C46"/>
    <w:rsid w:val="00D21360"/>
    <w:rsid w:val="00D27AB3"/>
    <w:rsid w:val="00D6632C"/>
    <w:rsid w:val="00D744DB"/>
    <w:rsid w:val="00D92956"/>
    <w:rsid w:val="00DA12BB"/>
    <w:rsid w:val="00DF7AD7"/>
    <w:rsid w:val="00E031C0"/>
    <w:rsid w:val="00E36141"/>
    <w:rsid w:val="00E83E58"/>
    <w:rsid w:val="00EA0BEF"/>
    <w:rsid w:val="00ED25A3"/>
    <w:rsid w:val="00EE4F29"/>
    <w:rsid w:val="00EE5310"/>
    <w:rsid w:val="00F20877"/>
    <w:rsid w:val="00F20AF0"/>
    <w:rsid w:val="00F4769E"/>
    <w:rsid w:val="00F61E2C"/>
    <w:rsid w:val="00F633B1"/>
    <w:rsid w:val="00F75884"/>
    <w:rsid w:val="00F75B4D"/>
    <w:rsid w:val="00FA24A1"/>
    <w:rsid w:val="00FE30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5F"/>
  </w:style>
  <w:style w:type="paragraph" w:styleId="Heading2">
    <w:name w:val="heading 2"/>
    <w:basedOn w:val="BodyText"/>
    <w:next w:val="BodyText"/>
    <w:qFormat/>
    <w:rsid w:val="0054095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95F"/>
    <w:pPr>
      <w:spacing w:before="240"/>
    </w:pPr>
    <w:rPr>
      <w:sz w:val="24"/>
      <w:lang w:val="en-GB"/>
    </w:rPr>
  </w:style>
  <w:style w:type="paragraph" w:styleId="List">
    <w:name w:val="List"/>
    <w:basedOn w:val="BodyText"/>
    <w:rsid w:val="0054095F"/>
    <w:pPr>
      <w:ind w:left="1080" w:hanging="1080"/>
    </w:pPr>
  </w:style>
  <w:style w:type="paragraph" w:styleId="Title">
    <w:name w:val="Title"/>
    <w:basedOn w:val="BodyText"/>
    <w:qFormat/>
    <w:rsid w:val="0054095F"/>
    <w:pPr>
      <w:spacing w:after="240"/>
      <w:jc w:val="center"/>
    </w:pPr>
    <w:rPr>
      <w:rFonts w:ascii="Arial" w:hAnsi="Arial"/>
      <w:b/>
      <w:sz w:val="40"/>
    </w:r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8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1526</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owner</cp:lastModifiedBy>
  <cp:revision>12</cp:revision>
  <cp:lastPrinted>2016-04-26T21:09:00Z</cp:lastPrinted>
  <dcterms:created xsi:type="dcterms:W3CDTF">2016-12-06T23:39:00Z</dcterms:created>
  <dcterms:modified xsi:type="dcterms:W3CDTF">2016-12-07T00:05:00Z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