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4883" w14:textId="77777777" w:rsidR="00C1316E" w:rsidRDefault="00C1316E">
      <w:pPr>
        <w:pBdr>
          <w:top w:val="nil"/>
          <w:left w:val="nil"/>
          <w:bottom w:val="nil"/>
          <w:right w:val="nil"/>
          <w:between w:val="nil"/>
        </w:pBdr>
        <w:spacing w:line="276" w:lineRule="auto"/>
        <w:jc w:val="center"/>
        <w:rPr>
          <w:rFonts w:ascii="Arial" w:eastAsia="Arial" w:hAnsi="Arial" w:cs="Arial"/>
          <w:b/>
          <w:color w:val="000000"/>
          <w:sz w:val="20"/>
          <w:szCs w:val="20"/>
        </w:rPr>
      </w:pPr>
    </w:p>
    <w:p w14:paraId="4E332DC8" w14:textId="53D36A00" w:rsidR="00C1316E" w:rsidRDefault="00AC3E4F" w:rsidP="001C0DA1">
      <w:pPr>
        <w:pBdr>
          <w:top w:val="nil"/>
          <w:left w:val="nil"/>
          <w:bottom w:val="nil"/>
          <w:right w:val="nil"/>
          <w:between w:val="nil"/>
        </w:pBdr>
        <w:spacing w:line="276" w:lineRule="auto"/>
        <w:jc w:val="center"/>
        <w:rPr>
          <w:rFonts w:ascii="Arial" w:eastAsia="Arial" w:hAnsi="Arial" w:cs="Arial"/>
          <w:b/>
          <w:i/>
          <w:color w:val="000000"/>
          <w:sz w:val="20"/>
          <w:szCs w:val="20"/>
        </w:rPr>
      </w:pPr>
      <w:r>
        <w:rPr>
          <w:rFonts w:ascii="Arial" w:eastAsia="Arial" w:hAnsi="Arial" w:cs="Arial"/>
          <w:b/>
          <w:color w:val="000000"/>
          <w:sz w:val="20"/>
          <w:szCs w:val="20"/>
        </w:rPr>
        <w:t xml:space="preserve">StateHouse </w:t>
      </w:r>
      <w:r w:rsidR="001C0DA1" w:rsidRPr="001C0DA1">
        <w:rPr>
          <w:rFonts w:ascii="Arial" w:eastAsia="Arial" w:hAnsi="Arial" w:cs="Arial"/>
          <w:b/>
          <w:color w:val="000000"/>
          <w:sz w:val="20"/>
          <w:szCs w:val="20"/>
        </w:rPr>
        <w:t>Provides an Update on Application for Management Cease Trade Order</w:t>
      </w:r>
    </w:p>
    <w:p w14:paraId="1C702DD2" w14:textId="77777777" w:rsidR="00C1316E" w:rsidRDefault="00C1316E">
      <w:pPr>
        <w:pBdr>
          <w:top w:val="nil"/>
          <w:left w:val="nil"/>
          <w:bottom w:val="nil"/>
          <w:right w:val="nil"/>
          <w:between w:val="nil"/>
        </w:pBdr>
        <w:spacing w:line="276" w:lineRule="auto"/>
        <w:jc w:val="center"/>
        <w:rPr>
          <w:rFonts w:ascii="Arial" w:eastAsia="Arial" w:hAnsi="Arial" w:cs="Arial"/>
          <w:b/>
          <w:color w:val="000000"/>
          <w:sz w:val="20"/>
          <w:szCs w:val="20"/>
        </w:rPr>
      </w:pPr>
    </w:p>
    <w:p w14:paraId="5C18B3A6" w14:textId="1E52A04B" w:rsidR="00C1316E" w:rsidRDefault="00AC3E4F" w:rsidP="001C0DA1">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SAN DIEGO and TORONTO, April 1</w:t>
      </w:r>
      <w:r w:rsidR="009475A7">
        <w:rPr>
          <w:rFonts w:ascii="Arial" w:eastAsia="Arial" w:hAnsi="Arial" w:cs="Arial"/>
          <w:b/>
          <w:color w:val="000000"/>
          <w:sz w:val="20"/>
          <w:szCs w:val="20"/>
        </w:rPr>
        <w:t>9</w:t>
      </w:r>
      <w:r>
        <w:rPr>
          <w:rFonts w:ascii="Arial" w:eastAsia="Arial" w:hAnsi="Arial" w:cs="Arial"/>
          <w:b/>
          <w:color w:val="000000"/>
          <w:sz w:val="20"/>
          <w:szCs w:val="20"/>
        </w:rPr>
        <w:t>, 2024</w:t>
      </w:r>
      <w:r>
        <w:rPr>
          <w:rFonts w:ascii="Arial" w:eastAsia="Arial" w:hAnsi="Arial" w:cs="Arial"/>
          <w:color w:val="000000"/>
          <w:sz w:val="20"/>
          <w:szCs w:val="20"/>
        </w:rPr>
        <w:t xml:space="preserve"> -- </w:t>
      </w:r>
      <w:hyperlink r:id="rId7">
        <w:r>
          <w:rPr>
            <w:rFonts w:ascii="Arial" w:eastAsia="Arial" w:hAnsi="Arial" w:cs="Arial"/>
            <w:color w:val="1155CC"/>
            <w:sz w:val="20"/>
            <w:szCs w:val="20"/>
            <w:u w:val="single"/>
          </w:rPr>
          <w:t>StateHouse Holdings Inc</w:t>
        </w:r>
      </w:hyperlink>
      <w:r>
        <w:rPr>
          <w:rFonts w:ascii="Arial" w:eastAsia="Arial" w:hAnsi="Arial" w:cs="Arial"/>
          <w:color w:val="000000"/>
          <w:sz w:val="20"/>
          <w:szCs w:val="20"/>
        </w:rPr>
        <w:t xml:space="preserve">. (“StateHouse” or the “Company”) (CSE: STHZ) (OTCQB: STHZF), a California-focused, vertically integrated cannabis company, today announced </w:t>
      </w:r>
      <w:r w:rsidR="001C0DA1" w:rsidRPr="001C0DA1">
        <w:rPr>
          <w:rFonts w:ascii="Arial" w:eastAsia="Arial" w:hAnsi="Arial" w:cs="Arial"/>
          <w:color w:val="000000"/>
          <w:sz w:val="20"/>
          <w:szCs w:val="20"/>
        </w:rPr>
        <w:t xml:space="preserve">further to its press release </w:t>
      </w:r>
      <w:r w:rsidR="00AD4C82">
        <w:rPr>
          <w:rFonts w:ascii="Arial" w:eastAsia="Arial" w:hAnsi="Arial" w:cs="Arial"/>
          <w:color w:val="000000"/>
          <w:sz w:val="20"/>
          <w:szCs w:val="20"/>
        </w:rPr>
        <w:t>dated</w:t>
      </w:r>
      <w:r w:rsidR="00AD4C82" w:rsidRPr="001C0DA1">
        <w:rPr>
          <w:rFonts w:ascii="Arial" w:eastAsia="Arial" w:hAnsi="Arial" w:cs="Arial"/>
          <w:color w:val="000000"/>
          <w:sz w:val="20"/>
          <w:szCs w:val="20"/>
        </w:rPr>
        <w:t xml:space="preserve"> </w:t>
      </w:r>
      <w:r w:rsidR="001C0DA1" w:rsidRPr="001C0DA1">
        <w:rPr>
          <w:rFonts w:ascii="Arial" w:eastAsia="Arial" w:hAnsi="Arial" w:cs="Arial"/>
          <w:color w:val="000000"/>
          <w:sz w:val="20"/>
          <w:szCs w:val="20"/>
        </w:rPr>
        <w:t xml:space="preserve">April </w:t>
      </w:r>
      <w:r w:rsidR="001C0DA1">
        <w:rPr>
          <w:rFonts w:ascii="Arial" w:eastAsia="Arial" w:hAnsi="Arial" w:cs="Arial"/>
          <w:color w:val="000000"/>
          <w:sz w:val="20"/>
          <w:szCs w:val="20"/>
        </w:rPr>
        <w:t>15</w:t>
      </w:r>
      <w:r w:rsidR="001C0DA1" w:rsidRPr="001C0DA1">
        <w:rPr>
          <w:rFonts w:ascii="Arial" w:eastAsia="Arial" w:hAnsi="Arial" w:cs="Arial"/>
          <w:color w:val="000000"/>
          <w:sz w:val="20"/>
          <w:szCs w:val="20"/>
        </w:rPr>
        <w:t>, 2024, that the Ontario Securities Commission (the "OSC") has denied the Company's application for a voluntary management cease trade order (the "MCTO") as the Company does not meet the criteria for an MCTO.</w:t>
      </w:r>
    </w:p>
    <w:p w14:paraId="413430DB" w14:textId="77777777" w:rsidR="001C0DA1" w:rsidRDefault="001C0DA1" w:rsidP="001C0DA1">
      <w:pPr>
        <w:pBdr>
          <w:top w:val="nil"/>
          <w:left w:val="nil"/>
          <w:bottom w:val="nil"/>
          <w:right w:val="nil"/>
          <w:between w:val="nil"/>
        </w:pBdr>
        <w:spacing w:line="276" w:lineRule="auto"/>
        <w:jc w:val="both"/>
        <w:rPr>
          <w:rFonts w:ascii="Arial" w:eastAsia="Arial" w:hAnsi="Arial" w:cs="Arial"/>
          <w:color w:val="000000"/>
          <w:sz w:val="20"/>
          <w:szCs w:val="20"/>
        </w:rPr>
      </w:pPr>
    </w:p>
    <w:p w14:paraId="2847FAFB" w14:textId="62DC1A89" w:rsidR="001C0DA1" w:rsidRPr="001C0DA1" w:rsidRDefault="001C0DA1" w:rsidP="001C0DA1">
      <w:pPr>
        <w:pBdr>
          <w:top w:val="nil"/>
          <w:left w:val="nil"/>
          <w:bottom w:val="nil"/>
          <w:right w:val="nil"/>
          <w:between w:val="nil"/>
        </w:pBdr>
        <w:spacing w:line="276" w:lineRule="auto"/>
        <w:jc w:val="both"/>
        <w:rPr>
          <w:rFonts w:ascii="Arial" w:eastAsia="Arial" w:hAnsi="Arial" w:cs="Arial"/>
          <w:sz w:val="20"/>
          <w:szCs w:val="20"/>
        </w:rPr>
      </w:pPr>
      <w:r w:rsidRPr="001C0DA1">
        <w:rPr>
          <w:rFonts w:ascii="Arial" w:eastAsia="Arial" w:hAnsi="Arial" w:cs="Arial"/>
          <w:sz w:val="20"/>
          <w:szCs w:val="20"/>
        </w:rPr>
        <w:t>The Company filed the application for a voluntary MCTO with the OSC due to an anticipated delay in filing its audited annual financial statements</w:t>
      </w:r>
      <w:r w:rsidR="00AD4C82">
        <w:rPr>
          <w:rFonts w:ascii="Arial" w:eastAsia="Arial" w:hAnsi="Arial" w:cs="Arial"/>
          <w:sz w:val="20"/>
          <w:szCs w:val="20"/>
        </w:rPr>
        <w:t xml:space="preserve"> for the year ended December 31, 2023 (the “Annual Financial Statements”),</w:t>
      </w:r>
      <w:r w:rsidRPr="001C0DA1">
        <w:rPr>
          <w:rFonts w:ascii="Arial" w:eastAsia="Arial" w:hAnsi="Arial" w:cs="Arial"/>
          <w:sz w:val="20"/>
          <w:szCs w:val="20"/>
        </w:rPr>
        <w:t xml:space="preserve"> </w:t>
      </w:r>
      <w:r w:rsidR="00AD4C82">
        <w:rPr>
          <w:rFonts w:ascii="Arial" w:eastAsia="Arial" w:hAnsi="Arial" w:cs="Arial"/>
          <w:sz w:val="20"/>
          <w:szCs w:val="20"/>
        </w:rPr>
        <w:t xml:space="preserve">the related </w:t>
      </w:r>
      <w:r w:rsidRPr="001C0DA1">
        <w:rPr>
          <w:rFonts w:ascii="Arial" w:eastAsia="Arial" w:hAnsi="Arial" w:cs="Arial"/>
          <w:sz w:val="20"/>
          <w:szCs w:val="20"/>
        </w:rPr>
        <w:t>management discussion &amp; analysis for the financial year ended December 31, 2023, and the CEO and CFO certificates</w:t>
      </w:r>
      <w:r w:rsidR="00AD4C82">
        <w:rPr>
          <w:rFonts w:ascii="Arial" w:eastAsia="Arial" w:hAnsi="Arial" w:cs="Arial"/>
          <w:sz w:val="20"/>
          <w:szCs w:val="20"/>
        </w:rPr>
        <w:t xml:space="preserve"> (collectively, the “Annual Filings”)</w:t>
      </w:r>
      <w:r w:rsidRPr="001C0DA1">
        <w:rPr>
          <w:rFonts w:ascii="Arial" w:eastAsia="Arial" w:hAnsi="Arial" w:cs="Arial"/>
          <w:sz w:val="20"/>
          <w:szCs w:val="20"/>
        </w:rPr>
        <w:t xml:space="preserve">, all as required by National Instrument 51-102 - </w:t>
      </w:r>
      <w:r w:rsidRPr="00D15217">
        <w:rPr>
          <w:rFonts w:ascii="Arial" w:eastAsia="Arial" w:hAnsi="Arial" w:cs="Arial"/>
          <w:i/>
          <w:iCs/>
          <w:sz w:val="20"/>
          <w:szCs w:val="20"/>
        </w:rPr>
        <w:t>Continuous Disclosure Obligations</w:t>
      </w:r>
      <w:r w:rsidRPr="001C0DA1">
        <w:rPr>
          <w:rFonts w:ascii="Arial" w:eastAsia="Arial" w:hAnsi="Arial" w:cs="Arial"/>
          <w:sz w:val="20"/>
          <w:szCs w:val="20"/>
        </w:rPr>
        <w:t xml:space="preserve"> and National Instrument 52-109 - </w:t>
      </w:r>
      <w:r w:rsidRPr="00D15217">
        <w:rPr>
          <w:rFonts w:ascii="Arial" w:eastAsia="Arial" w:hAnsi="Arial" w:cs="Arial"/>
          <w:i/>
          <w:iCs/>
          <w:sz w:val="20"/>
          <w:szCs w:val="20"/>
        </w:rPr>
        <w:t>Certification of Disclosure in Issuers' Annual and Interim Filings</w:t>
      </w:r>
      <w:r>
        <w:rPr>
          <w:rFonts w:ascii="Arial" w:eastAsia="Arial" w:hAnsi="Arial" w:cs="Arial"/>
          <w:sz w:val="20"/>
          <w:szCs w:val="20"/>
        </w:rPr>
        <w:t>.</w:t>
      </w:r>
      <w:r w:rsidRPr="001C0DA1">
        <w:rPr>
          <w:rFonts w:ascii="Arial" w:eastAsia="Arial" w:hAnsi="Arial" w:cs="Arial"/>
          <w:sz w:val="20"/>
          <w:szCs w:val="20"/>
        </w:rPr>
        <w:t xml:space="preserve"> </w:t>
      </w:r>
    </w:p>
    <w:p w14:paraId="6C742D12" w14:textId="77777777" w:rsidR="001C0DA1" w:rsidRPr="001C0DA1" w:rsidRDefault="001C0DA1" w:rsidP="001C0DA1">
      <w:pPr>
        <w:pBdr>
          <w:top w:val="nil"/>
          <w:left w:val="nil"/>
          <w:bottom w:val="nil"/>
          <w:right w:val="nil"/>
          <w:between w:val="nil"/>
        </w:pBdr>
        <w:spacing w:line="276" w:lineRule="auto"/>
        <w:jc w:val="both"/>
        <w:rPr>
          <w:rFonts w:ascii="Arial" w:eastAsia="Arial" w:hAnsi="Arial" w:cs="Arial"/>
          <w:sz w:val="20"/>
          <w:szCs w:val="20"/>
        </w:rPr>
      </w:pPr>
    </w:p>
    <w:p w14:paraId="3AB0C32B" w14:textId="34064E0C" w:rsidR="00C1316E" w:rsidRDefault="001C0DA1">
      <w:pPr>
        <w:pBdr>
          <w:top w:val="nil"/>
          <w:left w:val="nil"/>
          <w:bottom w:val="nil"/>
          <w:right w:val="nil"/>
          <w:between w:val="nil"/>
        </w:pBdr>
        <w:spacing w:line="276" w:lineRule="auto"/>
        <w:jc w:val="both"/>
        <w:rPr>
          <w:rFonts w:ascii="Arial" w:eastAsia="Arial" w:hAnsi="Arial" w:cs="Arial"/>
          <w:sz w:val="20"/>
          <w:szCs w:val="20"/>
        </w:rPr>
      </w:pPr>
      <w:r w:rsidRPr="001C0DA1">
        <w:rPr>
          <w:rFonts w:ascii="Arial" w:eastAsia="Arial" w:hAnsi="Arial" w:cs="Arial"/>
          <w:sz w:val="20"/>
          <w:szCs w:val="20"/>
        </w:rPr>
        <w:t>The Company continues work with its auditors to complete the audit of the Annual Financial Statements and anticipates that, subject to current conditions remaining the same, it will require approximately an additional month to complete the process of preparing the Annual Filings and in any event will use its best efforts to complete the process within the next two months.</w:t>
      </w:r>
      <w:r w:rsidR="005B6E79" w:rsidRPr="005B6E79">
        <w:t xml:space="preserve"> </w:t>
      </w:r>
      <w:proofErr w:type="gramStart"/>
      <w:r w:rsidR="005B6E79" w:rsidRPr="005B6E79">
        <w:rPr>
          <w:rFonts w:ascii="Arial" w:eastAsia="Arial" w:hAnsi="Arial" w:cs="Arial"/>
          <w:sz w:val="20"/>
          <w:szCs w:val="20"/>
        </w:rPr>
        <w:t>As a consequence of</w:t>
      </w:r>
      <w:proofErr w:type="gramEnd"/>
      <w:r w:rsidR="005B6E79" w:rsidRPr="005B6E79">
        <w:rPr>
          <w:rFonts w:ascii="Arial" w:eastAsia="Arial" w:hAnsi="Arial" w:cs="Arial"/>
          <w:sz w:val="20"/>
          <w:szCs w:val="20"/>
        </w:rPr>
        <w:t xml:space="preserve"> the delay in filing the Annual Filings, the OSC may impose a failure-to-file cease trade order (“FFCTO”) against the Company after April 29, 2024, which will likely remain in effect until the Annual Filings are filed. While the FFCTO is in effect, no shares of the Company will be traded</w:t>
      </w:r>
      <w:r w:rsidR="009C64D2">
        <w:rPr>
          <w:rFonts w:ascii="Arial" w:eastAsia="Arial" w:hAnsi="Arial" w:cs="Arial"/>
          <w:sz w:val="20"/>
          <w:szCs w:val="20"/>
        </w:rPr>
        <w:t>.</w:t>
      </w:r>
    </w:p>
    <w:p w14:paraId="316B2B11" w14:textId="77777777" w:rsidR="001C0DA1" w:rsidRDefault="001C0DA1">
      <w:pPr>
        <w:pBdr>
          <w:top w:val="nil"/>
          <w:left w:val="nil"/>
          <w:bottom w:val="nil"/>
          <w:right w:val="nil"/>
          <w:between w:val="nil"/>
        </w:pBdr>
        <w:spacing w:line="276" w:lineRule="auto"/>
        <w:jc w:val="both"/>
        <w:rPr>
          <w:rFonts w:ascii="Arial" w:eastAsia="Arial" w:hAnsi="Arial" w:cs="Arial"/>
          <w:color w:val="000000"/>
          <w:sz w:val="20"/>
          <w:szCs w:val="20"/>
        </w:rPr>
      </w:pPr>
    </w:p>
    <w:p w14:paraId="2A3C16A0" w14:textId="77777777" w:rsidR="00C1316E" w:rsidRDefault="00AC3E4F">
      <w:pPr>
        <w:pBdr>
          <w:top w:val="nil"/>
          <w:left w:val="nil"/>
          <w:bottom w:val="nil"/>
          <w:right w:val="nil"/>
          <w:between w:val="nil"/>
        </w:pBdr>
        <w:spacing w:after="240" w:line="276" w:lineRule="auto"/>
        <w:jc w:val="both"/>
        <w:rPr>
          <w:rFonts w:ascii="Arial" w:eastAsia="Arial" w:hAnsi="Arial" w:cs="Arial"/>
          <w:b/>
          <w:color w:val="000000"/>
          <w:sz w:val="22"/>
          <w:szCs w:val="22"/>
        </w:rPr>
      </w:pPr>
      <w:r>
        <w:rPr>
          <w:rFonts w:ascii="Arial" w:eastAsia="Arial" w:hAnsi="Arial" w:cs="Arial"/>
          <w:b/>
          <w:color w:val="000000"/>
          <w:sz w:val="20"/>
          <w:szCs w:val="20"/>
        </w:rPr>
        <w:t>About StateHouse Holdings Inc.</w:t>
      </w:r>
    </w:p>
    <w:p w14:paraId="5E3CAEF9"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StateHouse, a vertically integrated enterprise with cannabis licenses covering retail, major brands, distribution, cultivation, nursery, and manufacturing, is one of the oldest and most respected cannabis companies in California. Founded in 2006, its predecessor company </w:t>
      </w:r>
      <w:r w:rsidRPr="00AC3E4F">
        <w:rPr>
          <w:rFonts w:ascii="Arial" w:eastAsia="Arial" w:hAnsi="Arial" w:cs="Arial"/>
          <w:color w:val="000000"/>
          <w:sz w:val="20"/>
          <w:szCs w:val="20"/>
        </w:rPr>
        <w:t>Harborside was awarded one of the first six medical cannabis licenses granted in the United States. Today, the Company operates 13 dispensaries covering Northern and Southern California and one in Oregon, an integrated cultivation facility in Salinas and manufacturing in Greenfield, California. StateHouse is a leading brand house in California by market share, with a diversified product across multiple brands, form factors, and price points. StateHouse sells its six popular house brands to over 600 retailers across California including Kingpen</w:t>
      </w:r>
      <w:r>
        <w:rPr>
          <w:rFonts w:ascii="Arial" w:eastAsia="Arial" w:hAnsi="Arial" w:cs="Arial"/>
          <w:color w:val="000000"/>
          <w:sz w:val="20"/>
          <w:szCs w:val="20"/>
        </w:rPr>
        <w:t>, Dime Bag, Loudpack, Fuzzies, Sublime, Urbn Leaf and Smokiez line of products. StateHouse is a publicly listed company, currently trading on the Canadian Securities Exchange ("CSE") under the ticker symbol "STHZ" and the OTCQB under the ticker symbol "STHZF". The Company continues to play an instrumental role in making cannabis safe and accessible to a broad and diverse community of California and Oregon consumers.</w:t>
      </w:r>
    </w:p>
    <w:p w14:paraId="59115ECC"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highlight w:val="yellow"/>
        </w:rPr>
      </w:pPr>
    </w:p>
    <w:p w14:paraId="0A6E97DF" w14:textId="77777777" w:rsidR="00C1316E" w:rsidRDefault="00AC3E4F">
      <w:pPr>
        <w:pBdr>
          <w:top w:val="nil"/>
          <w:left w:val="nil"/>
          <w:bottom w:val="nil"/>
          <w:right w:val="nil"/>
          <w:between w:val="nil"/>
        </w:pBdr>
        <w:spacing w:after="240" w:line="276" w:lineRule="auto"/>
        <w:jc w:val="both"/>
        <w:rPr>
          <w:rFonts w:ascii="Arial" w:eastAsia="Arial" w:hAnsi="Arial" w:cs="Arial"/>
          <w:b/>
          <w:color w:val="000000"/>
          <w:sz w:val="22"/>
          <w:szCs w:val="22"/>
        </w:rPr>
      </w:pPr>
      <w:r>
        <w:rPr>
          <w:rFonts w:ascii="Arial" w:eastAsia="Arial" w:hAnsi="Arial" w:cs="Arial"/>
          <w:b/>
          <w:color w:val="000000"/>
          <w:sz w:val="20"/>
          <w:szCs w:val="20"/>
        </w:rPr>
        <w:t>Cautionary Note Regarding Forward-Looking Information</w:t>
      </w:r>
    </w:p>
    <w:p w14:paraId="4FC4FEBB" w14:textId="0B070293"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This news release contains “forward-looking information” and “forward-looking statements’’ (collectively, “forward-looking statements”) within the meaning of the applicable Canadian and United States securities legislation. To the extent any forward-looking information in this news release constitutes “financial outlooks” or “future-oriented financial information” within the meaning of applicable Canadian securities laws, the reader is cautioned not to place undue reliance on such information. All statements, other than statements of historical fact, are forward-looking statements and are based on expectations, estimates, and projections as at the date of this news release. Any statement that involves discussions with respect to </w:t>
      </w:r>
      <w:r>
        <w:rPr>
          <w:rFonts w:ascii="Arial" w:eastAsia="Arial" w:hAnsi="Arial" w:cs="Arial"/>
          <w:color w:val="000000"/>
          <w:sz w:val="20"/>
          <w:szCs w:val="20"/>
        </w:rPr>
        <w:lastRenderedPageBreak/>
        <w:t>predictions, expectations, beliefs, plans, projections, objectives, assumptions, future events or performance (often but not always using phrases such as “expects’’, or “does not expect”, “is expected”, “anticipates” or “does not anticipate”, “plans”, “budget”, “scheduled”, “forecasts”, “estimates”, “believes” or “intends” or variations of such words and phrases or stating that certain actions, events or results “may” or “could”, “would”, “might” or “will” be taken to occur or be achieved) are not statements of historical fact and may be forward-looking statements. In this news release, forward-looking statements include, among other things, statements relating to the Annual Filings, including the anticipated delay in filing the Annual Filings the timing to complete the Company’s audit, the ability of the Company to file the Annual Filings by the timelines set out in this news release, and expectations for other economic, business, and/or competitive factors.</w:t>
      </w:r>
    </w:p>
    <w:p w14:paraId="536D3907"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2031AD5E"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These forward-looking statements are based on reasonable assumptions and estimates of management of the Company at the time such statements were made. Actual future results may differ materially as forward-looking statements involve known and unknown risks, uncertainties, and other factors which may cause the actual results, performance, or achievements of the Company to materially differ from any future results, performance, or achievements expressed or implied by such forward-looking statements. Such factors, among other things, include: the Company may not complete its audit and file the Annual Filings as currently anticipated, or at all; the Company will be subject to a general cease trade order in the event that the MCTO is not granted and/or the Annual Filings are not completed and filed; the Company may not be able to comply with NP 12-203; fluctuations in general macroeconomic conditions; fluctuations in securities markets; expectations regarding the size of the cannabis markets where the Company operates; changing consumer habits; the ability of the Company to successfully achieve its business objectives; plans for expansion and acquisitions; political and social uncertainties; inability to obtain adequate insurance to cover risks and hazards; employee relations; the presence of laws and regulations that may impose restrictions on cultivation, production, distribution, and sale of cannabis and cannabis-related products in the markets where the Company operates; and the risk factors set out in the Company’s management’s discussion and analysis for the three and nine months ended September 30, 2023 and the Company’s listing statement dated May 30, 2019, which are available under the Company’s profile on www.sedarplus.ca. Although the forward-looking statements contained in this news release are based upon what management of the Company believes, or believed at the time, to be reasonable assumptions, the Company cannot assure shareholders that actual results will be consistent with such forward-looking statements, as there may be other factors that cause results not to be as anticipated, estimated or intended. Readers should not place undue reliance on the forward-looking statements and information contained in this news release. The Company assumes no obligation to update the forward-looking statements of beliefs, opinions, projections, or other factors, should they change, except as required by law.</w:t>
      </w:r>
    </w:p>
    <w:p w14:paraId="2CD4B13D"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76A02C93"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Company, through several of its subsidiaries, is directly involved in the manufacture, possession, use, sale, and distribution of cannabis in the recreational and medicinal cannabis marketplace in the United States. Local state laws where the Company operates permit such activities however, investors should note that there are significant legal restrictions and regulations that govern the cannabis industry in the United States. Cannabis remains a Schedule I drug under the United States Controlled Substances Act, making it illegal under federal law in the United States to, among other things, cultivate, </w:t>
      </w:r>
      <w:proofErr w:type="gramStart"/>
      <w:r>
        <w:rPr>
          <w:rFonts w:ascii="Arial" w:eastAsia="Arial" w:hAnsi="Arial" w:cs="Arial"/>
          <w:color w:val="000000"/>
          <w:sz w:val="20"/>
          <w:szCs w:val="20"/>
        </w:rPr>
        <w:t>distribute</w:t>
      </w:r>
      <w:proofErr w:type="gramEnd"/>
      <w:r>
        <w:rPr>
          <w:rFonts w:ascii="Arial" w:eastAsia="Arial" w:hAnsi="Arial" w:cs="Arial"/>
          <w:color w:val="000000"/>
          <w:sz w:val="20"/>
          <w:szCs w:val="20"/>
        </w:rPr>
        <w:t xml:space="preserve"> or possess cannabis in the United States. Financial transactions involving proceeds generated by, or intended to promote, cannabis-related business activities in the United States may form the basis for prosecution under applicable United States federal money laundering legislation.</w:t>
      </w:r>
    </w:p>
    <w:p w14:paraId="708B171B" w14:textId="77777777" w:rsidR="001C0DA1" w:rsidRDefault="001C0DA1">
      <w:pPr>
        <w:pBdr>
          <w:top w:val="nil"/>
          <w:left w:val="nil"/>
          <w:bottom w:val="nil"/>
          <w:right w:val="nil"/>
          <w:between w:val="nil"/>
        </w:pBdr>
        <w:spacing w:line="276" w:lineRule="auto"/>
        <w:jc w:val="both"/>
        <w:rPr>
          <w:rFonts w:ascii="Arial" w:eastAsia="Arial" w:hAnsi="Arial" w:cs="Arial"/>
          <w:color w:val="000000"/>
          <w:sz w:val="20"/>
          <w:szCs w:val="20"/>
        </w:rPr>
      </w:pPr>
    </w:p>
    <w:p w14:paraId="79DB052D"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While the approach to enforcement of such laws by the federal government in the United States has trended toward non-enforcement against individuals and businesses that comply with recreational and medicinal cannabis programs in states where such programs are legal, strict compliance with state laws with respect to cannabis will neither absolve the Company of liability under United States federal law, nor will it provide </w:t>
      </w:r>
      <w:r>
        <w:rPr>
          <w:rFonts w:ascii="Arial" w:eastAsia="Arial" w:hAnsi="Arial" w:cs="Arial"/>
          <w:color w:val="000000"/>
          <w:sz w:val="20"/>
          <w:szCs w:val="20"/>
        </w:rPr>
        <w:lastRenderedPageBreak/>
        <w:t xml:space="preserve">a defense to any federal proceeding which may be brought against the Company. The enforcement of federal laws in the United States is a significant risk to the business of the Company and any proceedings brought against the Company thereunder may adversely affect the Company’s operations and financial performance. </w:t>
      </w:r>
    </w:p>
    <w:p w14:paraId="62628043"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77DF8059"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This news release does not constitute an offer to sell, or a solicitation of an offer to buy, any securities in the United States. The Company’s securities have not been and will not be 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 </w:t>
      </w:r>
    </w:p>
    <w:p w14:paraId="544BD9C1"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7CEDB207"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CSE has neither approved nor disapproved the contents of this news release. Neither the CSE nor its Market Regulator (as that term is defined in the policies of the CSE) accepts responsibility for the adequacy or accuracy of this release. </w:t>
      </w:r>
    </w:p>
    <w:p w14:paraId="45D3AC7B"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648CC0ED"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For the latest news, activities, and media coverage, please visit </w:t>
      </w:r>
      <w:hyperlink r:id="rId8">
        <w:r>
          <w:rPr>
            <w:rFonts w:ascii="Arial" w:eastAsia="Arial" w:hAnsi="Arial" w:cs="Arial"/>
            <w:color w:val="000000"/>
            <w:sz w:val="20"/>
            <w:szCs w:val="20"/>
            <w:u w:val="single"/>
          </w:rPr>
          <w:t>https://www.statehouseholdings.com</w:t>
        </w:r>
      </w:hyperlink>
      <w:r>
        <w:rPr>
          <w:rFonts w:ascii="Arial" w:eastAsia="Arial" w:hAnsi="Arial" w:cs="Arial"/>
          <w:color w:val="000000"/>
          <w:sz w:val="20"/>
          <w:szCs w:val="20"/>
        </w:rPr>
        <w:t>, https://shopharborside.com and https://urbnleaf.com and connect with us on LinkedIn and Twitter.</w:t>
      </w:r>
    </w:p>
    <w:p w14:paraId="06D22090" w14:textId="77777777" w:rsidR="00C1316E" w:rsidRDefault="00C1316E">
      <w:pPr>
        <w:pBdr>
          <w:top w:val="nil"/>
          <w:left w:val="nil"/>
          <w:bottom w:val="nil"/>
          <w:right w:val="nil"/>
          <w:between w:val="nil"/>
        </w:pBdr>
        <w:spacing w:line="276" w:lineRule="auto"/>
        <w:rPr>
          <w:rFonts w:ascii="Arial" w:eastAsia="Arial" w:hAnsi="Arial" w:cs="Arial"/>
          <w:color w:val="000000"/>
          <w:sz w:val="20"/>
          <w:szCs w:val="20"/>
        </w:rPr>
      </w:pPr>
    </w:p>
    <w:p w14:paraId="4637ED55" w14:textId="77777777" w:rsidR="00C1316E" w:rsidRDefault="00AC3E4F">
      <w:pPr>
        <w:rPr>
          <w:rFonts w:ascii="Arial" w:eastAsia="Arial" w:hAnsi="Arial" w:cs="Arial"/>
          <w:sz w:val="20"/>
          <w:szCs w:val="20"/>
        </w:rPr>
      </w:pPr>
      <w:r>
        <w:rPr>
          <w:rFonts w:ascii="Arial" w:eastAsia="Arial" w:hAnsi="Arial" w:cs="Arial"/>
          <w:sz w:val="20"/>
          <w:szCs w:val="20"/>
        </w:rPr>
        <w:t>For further information:</w:t>
      </w:r>
    </w:p>
    <w:p w14:paraId="6A98B87B" w14:textId="77777777" w:rsidR="00C1316E" w:rsidRDefault="00C1316E">
      <w:pPr>
        <w:shd w:val="clear" w:color="auto" w:fill="FFFFFF"/>
        <w:rPr>
          <w:rFonts w:ascii="Arial" w:eastAsia="Arial" w:hAnsi="Arial" w:cs="Arial"/>
          <w:b/>
          <w:color w:val="222222"/>
          <w:sz w:val="20"/>
          <w:szCs w:val="20"/>
        </w:rPr>
      </w:pPr>
    </w:p>
    <w:p w14:paraId="7FEA4862" w14:textId="77777777" w:rsidR="00C1316E" w:rsidRDefault="00AC3E4F">
      <w:pPr>
        <w:shd w:val="clear" w:color="auto" w:fill="FFFFFF"/>
        <w:rPr>
          <w:rFonts w:ascii="Arial" w:eastAsia="Arial" w:hAnsi="Arial" w:cs="Arial"/>
          <w:sz w:val="20"/>
          <w:szCs w:val="20"/>
        </w:rPr>
      </w:pPr>
      <w:r>
        <w:rPr>
          <w:rFonts w:ascii="Arial" w:eastAsia="Arial" w:hAnsi="Arial" w:cs="Arial"/>
          <w:b/>
          <w:color w:val="222222"/>
          <w:sz w:val="20"/>
          <w:szCs w:val="20"/>
        </w:rPr>
        <w:t>StateHouse Holdings Inc.,</w:t>
      </w:r>
      <w:r>
        <w:rPr>
          <w:rFonts w:ascii="Arial" w:eastAsia="Arial" w:hAnsi="Arial" w:cs="Arial"/>
          <w:color w:val="222222"/>
          <w:sz w:val="20"/>
          <w:szCs w:val="20"/>
        </w:rPr>
        <w:t xml:space="preserve"> </w:t>
      </w:r>
      <w:r>
        <w:rPr>
          <w:rFonts w:ascii="Arial" w:eastAsia="Arial" w:hAnsi="Arial" w:cs="Arial"/>
          <w:color w:val="222222"/>
          <w:sz w:val="20"/>
          <w:szCs w:val="20"/>
        </w:rPr>
        <w:br/>
        <w:t xml:space="preserve">Edward M. Schmults, CEO </w:t>
      </w:r>
      <w:r>
        <w:rPr>
          <w:rFonts w:ascii="Arial" w:eastAsia="Arial" w:hAnsi="Arial" w:cs="Arial"/>
          <w:color w:val="222222"/>
          <w:sz w:val="20"/>
          <w:szCs w:val="20"/>
        </w:rPr>
        <w:br/>
      </w:r>
      <w:r>
        <w:rPr>
          <w:rFonts w:ascii="Arial" w:eastAsia="Arial" w:hAnsi="Arial" w:cs="Arial"/>
          <w:sz w:val="20"/>
          <w:szCs w:val="20"/>
        </w:rPr>
        <w:t>800-892-4209</w:t>
      </w:r>
    </w:p>
    <w:p w14:paraId="59E7C18D" w14:textId="77777777" w:rsidR="00C1316E" w:rsidRDefault="00C1316E">
      <w:pPr>
        <w:rPr>
          <w:rFonts w:ascii="Arial" w:eastAsia="Arial" w:hAnsi="Arial" w:cs="Arial"/>
          <w:sz w:val="20"/>
          <w:szCs w:val="20"/>
        </w:rPr>
      </w:pPr>
    </w:p>
    <w:p w14:paraId="2AF91212" w14:textId="77777777" w:rsidR="00C1316E" w:rsidRDefault="00AC3E4F">
      <w:pPr>
        <w:shd w:val="clear" w:color="auto" w:fill="FFFFFF"/>
        <w:rPr>
          <w:rFonts w:ascii="Arial" w:eastAsia="Arial" w:hAnsi="Arial" w:cs="Arial"/>
          <w:b/>
          <w:color w:val="222222"/>
          <w:sz w:val="20"/>
          <w:szCs w:val="20"/>
        </w:rPr>
      </w:pPr>
      <w:r>
        <w:rPr>
          <w:rFonts w:ascii="Arial" w:eastAsia="Arial" w:hAnsi="Arial" w:cs="Arial"/>
          <w:b/>
          <w:color w:val="222222"/>
          <w:sz w:val="20"/>
          <w:szCs w:val="20"/>
        </w:rPr>
        <w:t xml:space="preserve">Investor Contact: </w:t>
      </w:r>
    </w:p>
    <w:p w14:paraId="3036F9D5" w14:textId="77777777" w:rsidR="00C1316E" w:rsidRDefault="00AC3E4F">
      <w:pPr>
        <w:shd w:val="clear" w:color="auto" w:fill="FFFFFF"/>
        <w:rPr>
          <w:rFonts w:ascii="Arial" w:eastAsia="Arial" w:hAnsi="Arial" w:cs="Arial"/>
          <w:color w:val="222222"/>
          <w:sz w:val="20"/>
          <w:szCs w:val="20"/>
        </w:rPr>
      </w:pPr>
      <w:r>
        <w:rPr>
          <w:rFonts w:ascii="Arial" w:eastAsia="Arial" w:hAnsi="Arial" w:cs="Arial"/>
          <w:color w:val="222222"/>
          <w:sz w:val="20"/>
          <w:szCs w:val="20"/>
        </w:rPr>
        <w:t>MATTIO Communications</w:t>
      </w:r>
    </w:p>
    <w:p w14:paraId="481B2A2F" w14:textId="77777777" w:rsidR="00C1316E" w:rsidRDefault="00AC3E4F">
      <w:pPr>
        <w:shd w:val="clear" w:color="auto" w:fill="FFFFFF"/>
        <w:rPr>
          <w:rFonts w:ascii="Arial" w:eastAsia="Arial" w:hAnsi="Arial" w:cs="Arial"/>
          <w:color w:val="222222"/>
          <w:sz w:val="20"/>
          <w:szCs w:val="20"/>
        </w:rPr>
      </w:pPr>
      <w:r>
        <w:rPr>
          <w:rFonts w:ascii="Arial" w:eastAsia="Arial" w:hAnsi="Arial" w:cs="Arial"/>
          <w:color w:val="222222"/>
          <w:sz w:val="20"/>
          <w:szCs w:val="20"/>
        </w:rPr>
        <w:t xml:space="preserve">Rob Kelly </w:t>
      </w:r>
    </w:p>
    <w:p w14:paraId="552E23B1" w14:textId="77777777" w:rsidR="00C1316E" w:rsidRDefault="00AC3E4F">
      <w:pPr>
        <w:shd w:val="clear" w:color="auto" w:fill="FFFFFF"/>
        <w:rPr>
          <w:rFonts w:ascii="Arial" w:eastAsia="Arial" w:hAnsi="Arial" w:cs="Arial"/>
          <w:color w:val="222222"/>
          <w:sz w:val="20"/>
          <w:szCs w:val="20"/>
        </w:rPr>
      </w:pPr>
      <w:r>
        <w:rPr>
          <w:rFonts w:ascii="Arial" w:eastAsia="Arial" w:hAnsi="Arial" w:cs="Arial"/>
          <w:color w:val="222222"/>
          <w:sz w:val="20"/>
          <w:szCs w:val="20"/>
        </w:rPr>
        <w:t>statehouse@mattio.com</w:t>
      </w:r>
    </w:p>
    <w:sectPr w:rsidR="00C1316E">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86C1" w14:textId="77777777" w:rsidR="002316B0" w:rsidRDefault="002316B0">
      <w:r>
        <w:separator/>
      </w:r>
    </w:p>
  </w:endnote>
  <w:endnote w:type="continuationSeparator" w:id="0">
    <w:p w14:paraId="67A0B12F" w14:textId="77777777" w:rsidR="002316B0" w:rsidRDefault="0023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906B" w14:textId="77777777" w:rsidR="002316B0" w:rsidRDefault="002316B0">
      <w:r>
        <w:separator/>
      </w:r>
    </w:p>
  </w:footnote>
  <w:footnote w:type="continuationSeparator" w:id="0">
    <w:p w14:paraId="0B790063" w14:textId="77777777" w:rsidR="002316B0" w:rsidRDefault="0023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CCA7" w14:textId="77777777" w:rsidR="00C1316E" w:rsidRDefault="00AC3E4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5FD2704F" wp14:editId="272B766B">
          <wp:simplePos x="0" y="0"/>
          <wp:positionH relativeFrom="column">
            <wp:posOffset>1530032</wp:posOffset>
          </wp:positionH>
          <wp:positionV relativeFrom="paragraph">
            <wp:posOffset>0</wp:posOffset>
          </wp:positionV>
          <wp:extent cx="2883535" cy="2863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83535" cy="2863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DMS_Work10" w:val="0~LEGAL||1~62501018||2~2||3~4.18.2024_MCTO Update_V1 JHN04.18.24 (Cassels Comments)||5~RSARSANGI||6~RSARSANGI||7~WORDX||8~BUS||10~4/18/2024 9:08:32 PM||11~4/18/2024 9:07:57 PM||13~34576||14~False||17~public||18~RSARSANGI||19~RSARSANGI||21~True||22~True||23~False||25~055432||26~055432-00002||29~JSHERMAN||53~002||60~STATEHOUSE HOLDINGS INC.||61~SECURITIES MATTERS||64~Sherman, Jonathan||72~Business Law||74~Sarsangi, Reza||75~Sarsangi, Reza||76~Microsoft Word DOCX||77~Business Document||82~docx||85~4/18/2024 9:08:32 PM||99~1/1/0001 12:00:00 AM||106~C:\Users\rsarsangi\AppData\Roaming\iManage\Work\Recent\STATEHOUSE HOLDINGS INC. re SECURITIES MATTERS - 055432-00002\4.18.2024_MCTO Update_V1 JHN04.18.24 (Cassels Comments)(62501018.2).docx||107~1/1/0001 12:00:00 AM||109~4/18/2024 9:39:13 PM||113~4/18/2024 9:07:56 PM||114~4/18/2024 9:08:32 PM||124~False||"/>
    <w:docVar w:name="ForteTempFile" w:val="C:\Users\Natalie\AppData\Local\Temp\4230e271-e7f3-4da7-8153-6599d259be9e.docx"/>
    <w:docVar w:name="zzmp10mSEGsValidated" w:val="1"/>
    <w:docVar w:name="zzmp10NoTrailerPromptID" w:val="LEGAL.62501018.2"/>
    <w:docVar w:name="zzmpCompatibilityMode" w:val="15"/>
    <w:docVar w:name="zzmpLegacyTrailerRemoved" w:val="True"/>
  </w:docVars>
  <w:rsids>
    <w:rsidRoot w:val="00C1316E"/>
    <w:rsid w:val="00073DF6"/>
    <w:rsid w:val="00077638"/>
    <w:rsid w:val="000B2BD0"/>
    <w:rsid w:val="001C0DA1"/>
    <w:rsid w:val="002316B0"/>
    <w:rsid w:val="004261F8"/>
    <w:rsid w:val="00523A44"/>
    <w:rsid w:val="005B6E79"/>
    <w:rsid w:val="00666193"/>
    <w:rsid w:val="00771950"/>
    <w:rsid w:val="009475A7"/>
    <w:rsid w:val="009C64D2"/>
    <w:rsid w:val="00AC3E4F"/>
    <w:rsid w:val="00AD4C82"/>
    <w:rsid w:val="00C1316E"/>
    <w:rsid w:val="00C15BF1"/>
    <w:rsid w:val="00CE516A"/>
    <w:rsid w:val="00D15217"/>
    <w:rsid w:val="00D71F2B"/>
    <w:rsid w:val="00D801DC"/>
    <w:rsid w:val="00E020DC"/>
    <w:rsid w:val="00E710EF"/>
    <w:rsid w:val="00EF743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0034D"/>
  <w15:docId w15:val="{88319E79-CE37-4D7B-B384-4699738B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15BF1"/>
  </w:style>
  <w:style w:type="paragraph" w:styleId="Header">
    <w:name w:val="header"/>
    <w:basedOn w:val="Normal"/>
    <w:link w:val="HeaderChar"/>
    <w:uiPriority w:val="99"/>
    <w:unhideWhenUsed/>
    <w:rsid w:val="00AD4C82"/>
    <w:pPr>
      <w:tabs>
        <w:tab w:val="center" w:pos="4680"/>
        <w:tab w:val="right" w:pos="9360"/>
      </w:tabs>
    </w:pPr>
  </w:style>
  <w:style w:type="character" w:customStyle="1" w:styleId="HeaderChar">
    <w:name w:val="Header Char"/>
    <w:basedOn w:val="DefaultParagraphFont"/>
    <w:link w:val="Header"/>
    <w:uiPriority w:val="99"/>
    <w:rsid w:val="00AD4C82"/>
  </w:style>
  <w:style w:type="paragraph" w:styleId="Footer">
    <w:name w:val="footer"/>
    <w:basedOn w:val="Normal"/>
    <w:link w:val="FooterChar"/>
    <w:uiPriority w:val="99"/>
    <w:unhideWhenUsed/>
    <w:rsid w:val="00AD4C82"/>
    <w:pPr>
      <w:tabs>
        <w:tab w:val="center" w:pos="4680"/>
        <w:tab w:val="right" w:pos="9360"/>
      </w:tabs>
    </w:pPr>
  </w:style>
  <w:style w:type="character" w:customStyle="1" w:styleId="FooterChar">
    <w:name w:val="Footer Char"/>
    <w:basedOn w:val="DefaultParagraphFont"/>
    <w:link w:val="Footer"/>
    <w:uiPriority w:val="99"/>
    <w:rsid w:val="00AD4C82"/>
  </w:style>
  <w:style w:type="paragraph" w:customStyle="1" w:styleId="MacPacTrailer">
    <w:name w:val="MacPac Trailer"/>
    <w:rsid w:val="00AD4C82"/>
    <w:pPr>
      <w:widowControl w:val="0"/>
      <w:spacing w:line="200" w:lineRule="exact"/>
    </w:pPr>
    <w:rPr>
      <w:rFonts w:ascii="Arial" w:hAnsi="Arial"/>
      <w:sz w:val="16"/>
      <w:szCs w:val="22"/>
      <w:lang w:eastAsia="en-US"/>
    </w:rPr>
  </w:style>
  <w:style w:type="character" w:styleId="PlaceholderText">
    <w:name w:val="Placeholder Text"/>
    <w:basedOn w:val="DefaultParagraphFont"/>
    <w:uiPriority w:val="99"/>
    <w:semiHidden/>
    <w:rsid w:val="00AD4C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atehouseholdings.com" TargetMode="External"/><Relationship Id="rId3" Type="http://schemas.openxmlformats.org/officeDocument/2006/relationships/settings" Target="settings.xml"/><Relationship Id="rId7" Type="http://schemas.openxmlformats.org/officeDocument/2006/relationships/hyperlink" Target="https://www.statehouseholding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 L E G A L ! 6 2 5 0 1 0 1 8 . 2 < / d o c u m e n t i d >  
     < s e n d e r i d > R S A R S A N G I < / s e n d e r i d >  
     < s e n d e r e m a i l > R S A R S A N G I @ C A S S E L S . C O M < / s e n d e r e m a i l >  
     < l a s t m o d i f i e d > 2 0 2 4 - 0 4 - 1 8 T 1 7 : 3 9 : 0 0 . 0 0 0 0 0 0 0 - 0 4 : 0 0 < / l a s t m o d i f i e d >  
     < d a t a b a s e > L E G A L < / d a t a b a s e >  
 < / p r o p e r t i e s > 
</file>

<file path=customXml/itemProps1.xml><?xml version="1.0" encoding="utf-8"?>
<ds:datastoreItem xmlns:ds="http://schemas.openxmlformats.org/officeDocument/2006/customXml" ds:itemID="{EA5C23B5-029A-4E85-9BFA-F2FB04D32D4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1519</Words>
  <Characters>8663</Characters>
  <Application>Microsoft Office Word</Application>
  <DocSecurity>4</DocSecurity>
  <Lines>72</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Kelly</cp:lastModifiedBy>
  <cp:revision>2</cp:revision>
  <dcterms:created xsi:type="dcterms:W3CDTF">2024-04-19T19:51:00Z</dcterms:created>
  <dcterms:modified xsi:type="dcterms:W3CDTF">2024-04-19T19:51:00Z</dcterms:modified>
</cp:coreProperties>
</file>